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36" w:space="0" w:color="303E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7"/>
      </w:tblGrid>
      <w:tr w:rsidR="00A81D5D" w:rsidRPr="00A81D5D" w:rsidTr="00A81D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D5D" w:rsidRPr="00A81D5D" w:rsidRDefault="00A81D5D" w:rsidP="00A81D5D">
            <w:pPr>
              <w:spacing w:after="0" w:line="288" w:lineRule="atLeast"/>
              <w:jc w:val="both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</w:pPr>
            <w:r w:rsidRPr="00A81D5D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ru-RU"/>
              </w:rPr>
              <w:t>Управдомов лишают беспроцентного кредита</w:t>
            </w:r>
          </w:p>
          <w:p w:rsidR="00A81D5D" w:rsidRPr="00A81D5D" w:rsidRDefault="00A81D5D" w:rsidP="00A81D5D">
            <w:pPr>
              <w:spacing w:after="0" w:line="312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1D5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Половина коммунальных платежей не задержится на их счетах больше чем на сутки</w:t>
            </w:r>
          </w:p>
        </w:tc>
      </w:tr>
    </w:tbl>
    <w:p w:rsidR="00A81D5D" w:rsidRPr="00A81D5D" w:rsidRDefault="00A81D5D" w:rsidP="00A81D5D">
      <w:pPr>
        <w:spacing w:after="0" w:line="240" w:lineRule="auto"/>
        <w:jc w:val="both"/>
        <w:rPr>
          <w:rFonts w:ascii="Tahoma" w:eastAsia="Times New Roman" w:hAnsi="Tahoma" w:cs="Tahoma"/>
          <w:vanish/>
          <w:sz w:val="24"/>
          <w:szCs w:val="24"/>
          <w:lang w:eastAsia="ru-RU"/>
        </w:rPr>
      </w:pPr>
    </w:p>
    <w:p w:rsidR="00A81D5D" w:rsidRPr="00A81D5D" w:rsidRDefault="00A81D5D" w:rsidP="00A81D5D">
      <w:pPr>
        <w:spacing w:after="0" w:line="312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A81D5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Вопрос о доле платежей населения, которую ведомства смогут оставить в системе ЖКХ в качестве оборотного капитала управляющих компаний, поднят на министерский уровень. По итогам совещания в </w:t>
      </w:r>
      <w:proofErr w:type="spellStart"/>
      <w:r w:rsidRPr="00A81D5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Минрегионе</w:t>
      </w:r>
      <w:proofErr w:type="spellEnd"/>
      <w:r w:rsidRPr="00A81D5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в пятницу рассматривается схема, при которой 45-50% средств рынка коммунальных услуг с оборотом 3 </w:t>
      </w:r>
      <w:proofErr w:type="gramStart"/>
      <w:r w:rsidRPr="00A81D5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трлн</w:t>
      </w:r>
      <w:proofErr w:type="gramEnd"/>
      <w:r w:rsidRPr="00A81D5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руб. в год управляющие компании смогут аккумулировать на своих счетах, остальное надлежит перечислять в ежедневном режиме поставщикам ресурсов — воды, тепла и т. д. </w:t>
      </w:r>
    </w:p>
    <w:p w:rsidR="00A81D5D" w:rsidRPr="00A81D5D" w:rsidRDefault="00A81D5D" w:rsidP="00A81D5D">
      <w:pPr>
        <w:spacing w:after="240" w:line="312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В пятницу глава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Минрегиона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Виктор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Басаргин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провел совещание по вопросу автоматического расщепления платежей ЖКХ. Совещание на столь "техническую" тему прошло с участием заместителя главы Минфина Алексея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Саватюгина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, заместителя главы Минсвязи Ильи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Массуха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, ответственного за ЖКХ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врио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директора профильного департамента Минэкономики Павла Шпилевого, представителей ФАС, ФСТ, ЦБ и бенефициаров обсуждаемой реформы — УК и банков. Глава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Минрегиона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констатировал проблему, которую предлагалось решить: "Любая задержка платежей превращается в дивиденды для недобросовестных плательщиков". При этом министр отметил: 96% населения оплачивает коммунальные услуги, однако весомая часть этих платежей доходит до конечных получателей (поставщиков ресурсов) не вовремя. </w:t>
      </w:r>
      <w:proofErr w:type="gram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Отмеченная министром "необходимость выстроить схему оплаты таким образом, чтобы управляющие компании перестали быть посредниками в платежах, а получали бы деньги только за свои услуги, а средства до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ресурсоснабжающих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организаций доходили бы своевременно", вызвана поручением президента Дмитрия Медведева по итогам заседания президиума Госсовета 23 ноября 2010 года — срок его выполнения истекает в конце 2011 года.</w:t>
      </w:r>
      <w:proofErr w:type="gram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Минрегион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уже пробовал ввести требование автоматического и ежедневного перечисления оплаты услуг ЖКХ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ресурсоснабжающим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компаниям (см. "Ъ" от 2 июня). Однако </w:t>
      </w:r>
      <w:proofErr w:type="gram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против выступило</w:t>
      </w:r>
      <w:proofErr w:type="gram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Минэкономики: по его оценке, реформа лишит управляющие компании де-факто бесплатного кредитования за счет населения. По действующим правилам предоставления услуг ЖКХ "платежка" для "владельца жилого помещения в многоквартирном доме" складывается из трех составляющих: платы за ремонт жилого фонда, платы за лично потребляемые услуги ("внутри квартиры") и услуги, которые относятся "на общедомовые нужды". В итоге, как рассказали "Ъ" участвовавшие в подготовке совещания источники, принято "половинчатое" решение по вопросу о платежах населения за услуги ЖКХ: реформированы будут только расчеты за личное потребление гражданами тепла, воды и прочих услуг. В этой части, как уже описывал "Ъ", УК будут перечислять платежи населения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ресурсоснабжающим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организациям в день уплаты. </w:t>
      </w:r>
    </w:p>
    <w:p w:rsidR="00A81D5D" w:rsidRPr="00A81D5D" w:rsidRDefault="00A81D5D" w:rsidP="00A81D5D">
      <w:pPr>
        <w:spacing w:after="240" w:line="312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Начисленную же плату за услуги ЖКХ, которую УК относят "на общедомовые нужды" (до 25% всего платежа за ЖКХ), и средства, собранные с жильцов на ремонт и содержание жилого фонда (еще до 30% совокупной суммы в "платежке"), УК по-прежнему смогут аккумулировать. Таким образом, из 3 </w:t>
      </w:r>
      <w:proofErr w:type="gram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трлн</w:t>
      </w:r>
      <w:proofErr w:type="gram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руб. оборота ЖКХ "</w:t>
      </w:r>
      <w:bookmarkStart w:id="0" w:name="_GoBack"/>
      <w:bookmarkEnd w:id="0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прозрачной" после реформы станет половина. </w:t>
      </w:r>
    </w:p>
    <w:p w:rsidR="00A81D5D" w:rsidRPr="00A81D5D" w:rsidRDefault="00A81D5D" w:rsidP="00A81D5D">
      <w:pPr>
        <w:spacing w:after="240" w:line="312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Формально окончательного решения о судьбе реформы пока не принято — в пятницу Виктор </w:t>
      </w:r>
      <w:proofErr w:type="spellStart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>Басаргин</w:t>
      </w:r>
      <w:proofErr w:type="spellEnd"/>
      <w:r w:rsidRPr="00A81D5D">
        <w:rPr>
          <w:rFonts w:ascii="Tahoma" w:eastAsia="Times New Roman" w:hAnsi="Tahoma" w:cs="Tahoma"/>
          <w:sz w:val="18"/>
          <w:szCs w:val="18"/>
          <w:lang w:eastAsia="ru-RU"/>
        </w:rPr>
        <w:t xml:space="preserve"> констатировал необходимость рассмотреть представленные проекты документов, более тщательно проработать предложения и обсудить данный вопрос на очередном совещании через неделю. Однако, как стало известно "Ъ", межведомственные разногласия практически преодолены. До конца недели проекты постановлений, необходимые для изменения системы расчетов в ЖКХ, могут быть внесены в правительство. </w:t>
      </w: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 w:rsidRPr="00A81D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Олег Сапожков </w:t>
      </w:r>
      <w:r w:rsidRPr="00A81D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A81D5D" w:rsidRPr="00A81D5D" w:rsidRDefault="00A81D5D" w:rsidP="00A81D5D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sectPr w:rsidR="00A81D5D" w:rsidRPr="00A8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5D"/>
    <w:rsid w:val="0063722A"/>
    <w:rsid w:val="00A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5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303E5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2011-10-11T08:03:00Z</dcterms:created>
  <dcterms:modified xsi:type="dcterms:W3CDTF">2011-10-11T08:08:00Z</dcterms:modified>
</cp:coreProperties>
</file>