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проект</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Указ</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Раиса Республики Татарстан</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О внесении изменений в Указ Раиса Республики Татарстан</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«О предельных (максимальных) индексах изменения размера вносимой гражданами платы за коммунальные услуги в </w:t>
      </w:r>
      <w:r>
        <w:rPr>
          <w:rFonts w:eastAsia="Times New Roman" w:cs="Times New Roman" w:ascii="Times New Roman" w:hAnsi="Times New Roman"/>
          <w:b/>
          <w:spacing w:val="-2"/>
          <w:sz w:val="28"/>
          <w:szCs w:val="28"/>
          <w:lang w:eastAsia="ru-RU"/>
        </w:rPr>
        <w:t>муниципальных образованиях Республики Татарстан на 2025</w:t>
      </w:r>
      <w:r>
        <w:rPr>
          <w:rFonts w:eastAsia="Times New Roman" w:cs="Times New Roman" w:ascii="Times New Roman" w:hAnsi="Times New Roman"/>
          <w:b/>
          <w:sz w:val="28"/>
          <w:szCs w:val="28"/>
          <w:lang w:eastAsia="ru-RU"/>
        </w:rPr>
        <w:t xml:space="preserve"> год»</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В соответствии с Жилищным кодексом Российской Федерации, постановлением Правительства Российской Федерации от 30 апреля</w:t>
        <w:br/>
        <w:t xml:space="preserve">2014 года № 400 «О формировании индексов изменения размера платы </w:t>
      </w:r>
      <w:r>
        <w:rPr>
          <w:rFonts w:eastAsia="Calibri" w:cs="Times New Roman" w:ascii="Times New Roman" w:hAnsi="Times New Roman"/>
          <w:spacing w:val="-2"/>
          <w:sz w:val="28"/>
          <w:szCs w:val="28"/>
        </w:rPr>
        <w:t xml:space="preserve">граждан за коммунальные услуги в Российской Федерации» и распоряжением Правительства Российской Федерации от 15 ноября 2024 года № 3287-р </w:t>
      </w:r>
      <w:r>
        <w:rPr>
          <w:rFonts w:eastAsia="Calibri" w:cs="Times New Roman" w:ascii="Times New Roman" w:hAnsi="Times New Roman"/>
          <w:b/>
          <w:sz w:val="28"/>
          <w:szCs w:val="28"/>
        </w:rPr>
        <w:t>постановляю</w:t>
      </w:r>
      <w:r>
        <w:rPr>
          <w:rFonts w:eastAsia="Calibri" w:cs="Times New Roman" w:ascii="Times New Roman" w:hAnsi="Times New Roman"/>
          <w:sz w:val="28"/>
          <w:szCs w:val="28"/>
        </w:rPr>
        <w:t>:</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 Внести в Указ Раиса Республики Татарстан от 14 декабря</w:t>
        <w:br/>
        <w:t>2024 года № 962 «О предельных (максимальных) индексах изменения размера вносимой гражданами платы за коммунальные услуги</w:t>
        <w:br/>
        <w:t>в муниципальных образованиях Республики Татарстан на 2025 год» следующие изменения:</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а) в приложении № 1:</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в пункте 703 цифры «17,5» заменить цифрами «22,3»;</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в пункте 705 цифры «17,5» заменить цифрами «22,3»;</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в пункте 706 цифры «17,5» заменить цифрами «22,3»;</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в пункте 709 цифры «17,5» заменить цифрами «22,3»;</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в пункте 710 цифры «17,5» заменить цифрами «22,3»;</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в пункте 715 цифры «17,5» заменить цифрами «22,3»;</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б) в приложении № 2:</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пункт 703 изложить в следующей редакции: </w:t>
      </w:r>
    </w:p>
    <w:tbl>
      <w:tblPr>
        <w:tblW w:w="9565" w:type="dxa"/>
        <w:jc w:val="left"/>
        <w:tblInd w:w="-142" w:type="dxa"/>
        <w:tblLayout w:type="fixed"/>
        <w:tblCellMar>
          <w:top w:w="0" w:type="dxa"/>
          <w:left w:w="0" w:type="dxa"/>
          <w:bottom w:w="0" w:type="dxa"/>
          <w:right w:w="0" w:type="dxa"/>
        </w:tblCellMar>
        <w:tblLook w:val="0000" w:noHBand="0" w:noVBand="0" w:firstColumn="0" w:lastRow="0" w:lastColumn="0" w:firstRow="0"/>
      </w:tblPr>
      <w:tblGrid>
        <w:gridCol w:w="295"/>
        <w:gridCol w:w="623"/>
        <w:gridCol w:w="1843"/>
        <w:gridCol w:w="6496"/>
        <w:gridCol w:w="308"/>
      </w:tblGrid>
      <w:tr>
        <w:trPr/>
        <w:tc>
          <w:tcPr>
            <w:tcW w:w="295" w:type="dxa"/>
            <w:tcBorders>
              <w:right w:val="single" w:sz="4" w:space="0" w:color="000000"/>
            </w:tcBorders>
          </w:tcPr>
          <w:p>
            <w:pPr>
              <w:pStyle w:val="Normal"/>
              <w:widowControl w:val="false"/>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w:t>
            </w:r>
          </w:p>
        </w:tc>
        <w:tc>
          <w:tcPr>
            <w:tcW w:w="623"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703</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rPr>
                <w:rFonts w:ascii="Times New Roman" w:hAnsi="Times New Roman" w:cs="Times New Roman"/>
                <w:sz w:val="28"/>
                <w:szCs w:val="28"/>
              </w:rPr>
            </w:pPr>
            <w:r>
              <w:rPr>
                <w:rFonts w:cs="Times New Roman" w:ascii="Times New Roman" w:hAnsi="Times New Roman"/>
                <w:sz w:val="28"/>
                <w:szCs w:val="28"/>
              </w:rPr>
              <w:t>Кощаковское сельское поселение</w:t>
            </w:r>
          </w:p>
        </w:tc>
        <w:tc>
          <w:tcPr>
            <w:tcW w:w="6496"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Набор коммунальных услуг и тип благоустройства, которому соответствует значение предельного индекса: холодное водоснабжение (жилые дома квартирного типа с водопроводом и центральной или местной (выгреб) канализацией, с ваннами и водонагревателями), водоотведение (жилые дома квартирного типа с водопроводом и центральной или местной (выгреб) канализацией, с ваннами и водонагревателями), теплоснабжение (отопление жилых помещений в многоквартирных и жилых домах с централизованными системами теплоснабжения), электроснабжение (сельские населенные пункты, дома, оборудованные газовыми плитами), газоснабжение (сетевой газ), обращение с твердыми коммунальными отходами.</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Прогнозные размеры тарифов на коммунальные услуги с 01.07.2025 и темпы их изменения: электроснабжение – 4,19 руб./кВт∙ч (17,4 процента, с понижающим коэффициентом 0,732 для населения, проживающего в сельских населенных пунктах), газоснабжение – 8,41 руб./куб.м (12,6 процента), холодное водоснабжение – 40,51 руб./куб.м (49,2 процента), водоотведение – 75,54 руб./куб.м (43,7 процента), теплоснабжение – </w:t>
              <w:br/>
              <w:t>2</w:t>
            </w:r>
            <w:r>
              <w:rPr>
                <w:rFonts w:eastAsia="Times New Roman" w:cs="Times New Roman" w:ascii="Times New Roman" w:hAnsi="Times New Roman"/>
                <w:sz w:val="28"/>
                <w:szCs w:val="28"/>
              </w:rPr>
              <w:t> 453,17</w:t>
            </w:r>
            <w:r>
              <w:rPr>
                <w:rFonts w:cs="Times New Roman" w:ascii="Times New Roman" w:hAnsi="Times New Roman"/>
                <w:sz w:val="28"/>
                <w:szCs w:val="28"/>
              </w:rPr>
              <w:t xml:space="preserve"> руб./Гкал (14,8 процента), обращение с твердыми коммунальными отходами – </w:t>
              <w:br/>
              <w:t>598,49 руб./куб.м (8,9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Объемы и (или)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индекс рассчитан исходя из принципа неизменности набора и объема потребляемых коммунальных услуг.</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более установленного индекса по республике (17,5 процента), но менее (или равно) установленного предельного индекса, превышающего установленный индекс по республике (17,5 процента) не более чем на величину отклонения по республике (4,8 процента), – 2 787 зарегистрированных жителей (доля по муниципальному образованию – 37,0 процентов, доля по республике – 0,1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Совокупная сумма увеличения вносимой гражданами платы за коммунальные услуги в результате установления предельного индекса, превышающего установленный индекс по республике, составит с июля по декабрь 76,81 руб.</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равно (или менее) установленному предельному индексу, – 4</w:t>
            </w:r>
            <w:r>
              <w:rPr>
                <w:rFonts w:eastAsia="Times New Roman" w:cs="Times New Roman" w:ascii="Times New Roman" w:hAnsi="Times New Roman"/>
                <w:sz w:val="28"/>
                <w:szCs w:val="28"/>
              </w:rPr>
              <w:t> 741</w:t>
            </w:r>
            <w:r>
              <w:rPr>
                <w:rFonts w:cs="Times New Roman" w:ascii="Times New Roman" w:hAnsi="Times New Roman"/>
                <w:sz w:val="28"/>
                <w:szCs w:val="28"/>
              </w:rPr>
              <w:t xml:space="preserve"> зарегистрированный житель (доля по муниципальному образованию – 63 процента, доля по республике – 0,1 процента)</w:t>
            </w:r>
          </w:p>
        </w:tc>
        <w:tc>
          <w:tcPr>
            <w:tcW w:w="308" w:type="dxa"/>
            <w:tcBorders>
              <w:left w:val="single" w:sz="4" w:space="0" w:color="000000"/>
            </w:tcBorders>
            <w:vAlign w:val="bottom"/>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r>
    </w:tbl>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пункт 705 изложить в следующей редакции:</w:t>
      </w:r>
    </w:p>
    <w:tbl>
      <w:tblPr>
        <w:tblW w:w="9554" w:type="dxa"/>
        <w:jc w:val="left"/>
        <w:tblInd w:w="-131" w:type="dxa"/>
        <w:tblLayout w:type="fixed"/>
        <w:tblCellMar>
          <w:top w:w="0" w:type="dxa"/>
          <w:left w:w="0" w:type="dxa"/>
          <w:bottom w:w="0" w:type="dxa"/>
          <w:right w:w="0" w:type="dxa"/>
        </w:tblCellMar>
        <w:tblLook w:val="0000" w:noHBand="0" w:noVBand="0" w:firstColumn="0" w:lastRow="0" w:lastColumn="0" w:firstRow="0"/>
      </w:tblPr>
      <w:tblGrid>
        <w:gridCol w:w="279"/>
        <w:gridCol w:w="627"/>
        <w:gridCol w:w="1843"/>
        <w:gridCol w:w="6521"/>
        <w:gridCol w:w="284"/>
      </w:tblGrid>
      <w:tr>
        <w:trPr>
          <w:trHeight w:val="2967" w:hRule="atLeast"/>
        </w:trPr>
        <w:tc>
          <w:tcPr>
            <w:tcW w:w="279" w:type="dxa"/>
            <w:tcBorders>
              <w:right w:val="single" w:sz="4" w:space="0" w:color="000000"/>
            </w:tcBorders>
          </w:tcPr>
          <w:p>
            <w:pPr>
              <w:pStyle w:val="Normal"/>
              <w:widowControl w:val="false"/>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w:t>
            </w:r>
          </w:p>
        </w:tc>
        <w:tc>
          <w:tcPr>
            <w:tcW w:w="627"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705</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rPr>
                <w:rFonts w:ascii="Times New Roman" w:hAnsi="Times New Roman" w:cs="Times New Roman"/>
                <w:sz w:val="28"/>
                <w:szCs w:val="28"/>
              </w:rPr>
            </w:pPr>
            <w:r>
              <w:rPr>
                <w:rFonts w:cs="Times New Roman" w:ascii="Times New Roman" w:hAnsi="Times New Roman"/>
                <w:sz w:val="28"/>
                <w:szCs w:val="28"/>
              </w:rPr>
              <w:t>Кулаевское сельское поселение</w:t>
            </w:r>
          </w:p>
        </w:tc>
        <w:tc>
          <w:tcPr>
            <w:tcW w:w="6521"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Набор коммунальных услуг и тип благоустройства, которому соответствует значение предельного индекса: холодное водоснабже</w:t>
            </w:r>
            <w:bookmarkStart w:id="0" w:name="_GoBack"/>
            <w:bookmarkEnd w:id="0"/>
            <w:r>
              <w:rPr>
                <w:rFonts w:cs="Times New Roman" w:ascii="Times New Roman" w:hAnsi="Times New Roman"/>
                <w:sz w:val="28"/>
                <w:szCs w:val="28"/>
              </w:rPr>
              <w:t>ние (жилые дома квартирного типа с водопроводом и центральной или местной (выгреб) канализацией, с ваннами и водонагревателями), водоотведение (жилые дома квартирного типа с водопроводом и центральной или местной (выгреб) канализацией, с ваннами и водонагревателями), электроснабжение (сельские населенные пункты, дома, оборудованные газовыми плитами), газоснабжение (сетевой газ), обращение с твердыми коммунальными отходами.</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Прогнозные размеры тарифов на коммунальные услуги с 01.07.2025 и темпы их изменения: электроснабжение – 4,19 руб./кВт∙ч (17,4 процента, с понижающим коэффициентом 0,732 для населения, проживающего в сельских населенных пунктах), газоснабжение – 8,41 руб./куб.м (12,6 процента), холодное водоснабжение – 40,51 руб./куб.м (49,2 процента), водоотведение – 75,54 руб./куб.м (39,9 процента), обращение с твердыми коммунальными отходами – 598,49 руб./куб.м (8,9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Объемы и (или)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индекс рассчитан исходя из принципа неизменности набора и объема потребляемых коммунальных услуг.</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более установленного индекса по республике (17,5 процента), но менее (или равно) установленного предельного индекса, превышающего установленный индекс по республике (17,5 процента) не более чем на величину отклонения по республике (4,8 процента), – 1 267 зарегистрированных жителей (доля по муниципальному образованию – 66,3 процента, доля по республике – 0,03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Совокупная сумма увеличения вносимой гражданами платы за коммунальные услуги в результате установления предельного индекса, превышающего установленный индекс по республике, составит с июля по декабрь 81,02 руб.</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равно (или менее) установленному предельному индексу, – 644 зарегистрированных жителя (доля по муниципальному образованию – 33,7 процента, доля по республике – 0,02 процента)</w:t>
            </w:r>
          </w:p>
        </w:tc>
        <w:tc>
          <w:tcPr>
            <w:tcW w:w="284" w:type="dxa"/>
            <w:tcBorders>
              <w:left w:val="single" w:sz="4" w:space="0" w:color="000000"/>
            </w:tcBorders>
          </w:tcPr>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4" w:before="0" w:after="0"/>
              <w:jc w:val="both"/>
              <w:rPr>
                <w:rFonts w:ascii="Times New Roman" w:hAnsi="Times New Roman" w:cs="Times New Roman"/>
                <w:sz w:val="28"/>
                <w:szCs w:val="28"/>
              </w:rPr>
            </w:pPr>
            <w:r>
              <w:rPr>
                <w:rFonts w:cs="Times New Roman" w:ascii="Times New Roman" w:hAnsi="Times New Roman"/>
                <w:sz w:val="28"/>
                <w:szCs w:val="28"/>
              </w:rPr>
              <w:t>»;</w:t>
            </w:r>
          </w:p>
        </w:tc>
      </w:tr>
    </w:tbl>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пункт 706 изложить в следующей редакции:</w:t>
      </w:r>
    </w:p>
    <w:tbl>
      <w:tblPr>
        <w:tblW w:w="9412" w:type="dxa"/>
        <w:jc w:val="left"/>
        <w:tblInd w:w="-126" w:type="dxa"/>
        <w:tblLayout w:type="fixed"/>
        <w:tblCellMar>
          <w:top w:w="0" w:type="dxa"/>
          <w:left w:w="0" w:type="dxa"/>
          <w:bottom w:w="0" w:type="dxa"/>
          <w:right w:w="0" w:type="dxa"/>
        </w:tblCellMar>
        <w:tblLook w:val="0000" w:noHBand="0" w:noVBand="0" w:firstColumn="0" w:lastRow="0" w:lastColumn="0" w:firstRow="0"/>
      </w:tblPr>
      <w:tblGrid>
        <w:gridCol w:w="279"/>
        <w:gridCol w:w="622"/>
        <w:gridCol w:w="1984"/>
        <w:gridCol w:w="6242"/>
        <w:gridCol w:w="285"/>
      </w:tblGrid>
      <w:tr>
        <w:trPr/>
        <w:tc>
          <w:tcPr>
            <w:tcW w:w="279" w:type="dxa"/>
            <w:tcBorders>
              <w:right w:val="single" w:sz="4" w:space="0" w:color="000000"/>
            </w:tcBorders>
          </w:tcPr>
          <w:p>
            <w:pPr>
              <w:pStyle w:val="Normal"/>
              <w:widowControl w:val="false"/>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w:t>
            </w:r>
          </w:p>
        </w:tc>
        <w:tc>
          <w:tcPr>
            <w:tcW w:w="622"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706</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rPr>
                <w:rFonts w:ascii="Times New Roman" w:hAnsi="Times New Roman" w:cs="Times New Roman"/>
                <w:sz w:val="28"/>
                <w:szCs w:val="28"/>
              </w:rPr>
            </w:pPr>
            <w:r>
              <w:rPr>
                <w:rFonts w:cs="Times New Roman" w:ascii="Times New Roman" w:hAnsi="Times New Roman"/>
                <w:sz w:val="28"/>
                <w:szCs w:val="28"/>
              </w:rPr>
              <w:t>Ленино-Кокушкинское сельское поселение</w:t>
            </w:r>
          </w:p>
        </w:tc>
        <w:tc>
          <w:tcPr>
            <w:tcW w:w="6242"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Набор коммунальных услуг и тип благоустройства, которому соответствует значение предельного индекса: холодное водоснабжение (жилые дома квартирного типа с водопроводом и центральной или местной (выгреб) канализацией, с ваннами и водонагревателями), водоотведение (жилые дома квартирного типа с водопроводом и центральной или местной (выгреб) канализацией, с ваннами и водонагревателями), теплоснабжение (отопление жилых помещений в многоквартирных и жилых домах с централизованными системами теплоснабжения), электроснабжение (сельские населенные пункты, дома, оборудованные газовыми плитами), газоснабжение (сетевой газ), обращение с твердыми коммунальными отходами.</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Прогнозные размеры тарифов на коммунальные услуги с 01.07.2025 и темпы их изменения: электроснабжение – 4,19 руб./кВт∙ч (17,4 процента, с понижающим коэффициентом 0,732 для населения, проживающего в сельских населенных пунктах), газоснабжение – 8,41 руб./куб.м (12,6 процента), холодное водоснабжение – 40,51 руб./куб.м (49,2 процента), водоотведение – 75,54 руб./куб.м (39,9 процента), теплоснабжение – 2</w:t>
            </w:r>
            <w:r>
              <w:rPr>
                <w:rFonts w:eastAsia="Times New Roman" w:cs="Times New Roman" w:ascii="Times New Roman" w:hAnsi="Times New Roman"/>
                <w:sz w:val="28"/>
                <w:szCs w:val="28"/>
              </w:rPr>
              <w:t> 500,37</w:t>
            </w:r>
            <w:r>
              <w:rPr>
                <w:rFonts w:cs="Times New Roman" w:ascii="Times New Roman" w:hAnsi="Times New Roman"/>
                <w:sz w:val="28"/>
                <w:szCs w:val="28"/>
              </w:rPr>
              <w:t xml:space="preserve"> руб./Гкал (19,9 процента), обращение с твердыми коммунальными отходами – 598,49 руб./куб.м (8,9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Объемы и (или)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индекс рассчитан исходя из принципа неизменности набора и объема потребляемых коммунальных услуг.</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более установленного индекса по республике</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(17,5 процента), но менее (или равно) установленного предельного индекса, превышающего установленный индекс по республике (17,5 процента) не более чем на величину отклонения по республике (4,8 процента), – 2</w:t>
            </w:r>
            <w:r>
              <w:rPr>
                <w:rFonts w:eastAsia="Times New Roman" w:cs="Times New Roman" w:ascii="Times New Roman" w:hAnsi="Times New Roman"/>
                <w:sz w:val="28"/>
                <w:szCs w:val="28"/>
              </w:rPr>
              <w:t> </w:t>
            </w:r>
            <w:r>
              <w:rPr>
                <w:rFonts w:cs="Times New Roman" w:ascii="Times New Roman" w:hAnsi="Times New Roman"/>
                <w:sz w:val="28"/>
                <w:szCs w:val="28"/>
              </w:rPr>
              <w:t>250 зарегистрированных жителей (доля по муниципальному образованию – 71,8 процента, доля по республике – 0,1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Совокупная сумма увеличения вносимой гражданами платы за коммунальные услуги в результате установления предельного индекса, превышающего установленный индекс по республике, составит с июля по декабрь 102,36 руб.</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равно (или менее) установленному предельному индексу, – 884 зарегистрированных жителя (доля по муниципальному образованию – 28,2 процентов, доля по республике – 0,02 процента)</w:t>
            </w:r>
          </w:p>
        </w:tc>
        <w:tc>
          <w:tcPr>
            <w:tcW w:w="285" w:type="dxa"/>
            <w:tcBorders>
              <w:lef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w:t>
            </w:r>
          </w:p>
        </w:tc>
      </w:tr>
    </w:tbl>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пункт 709 изложить в следующей редакции:</w:t>
      </w:r>
    </w:p>
    <w:tbl>
      <w:tblPr>
        <w:tblW w:w="9407" w:type="dxa"/>
        <w:jc w:val="left"/>
        <w:tblInd w:w="-112" w:type="dxa"/>
        <w:tblLayout w:type="fixed"/>
        <w:tblCellMar>
          <w:top w:w="0" w:type="dxa"/>
          <w:left w:w="0" w:type="dxa"/>
          <w:bottom w:w="0" w:type="dxa"/>
          <w:right w:w="0" w:type="dxa"/>
        </w:tblCellMar>
        <w:tblLook w:val="0000" w:noHBand="0" w:noVBand="0" w:firstColumn="0" w:lastRow="0" w:lastColumn="0" w:firstRow="0"/>
      </w:tblPr>
      <w:tblGrid>
        <w:gridCol w:w="266"/>
        <w:gridCol w:w="629"/>
        <w:gridCol w:w="1976"/>
        <w:gridCol w:w="6241"/>
        <w:gridCol w:w="295"/>
      </w:tblGrid>
      <w:tr>
        <w:trPr/>
        <w:tc>
          <w:tcPr>
            <w:tcW w:w="266" w:type="dxa"/>
            <w:tcBorders>
              <w:right w:val="single" w:sz="4" w:space="0" w:color="000000"/>
            </w:tcBorders>
          </w:tcPr>
          <w:p>
            <w:pPr>
              <w:pStyle w:val="Normal"/>
              <w:widowControl w:val="false"/>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w:t>
            </w:r>
          </w:p>
        </w:tc>
        <w:tc>
          <w:tcPr>
            <w:tcW w:w="629"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709</w:t>
            </w:r>
          </w:p>
        </w:tc>
        <w:tc>
          <w:tcPr>
            <w:tcW w:w="1976"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rPr>
                <w:rFonts w:ascii="Times New Roman" w:hAnsi="Times New Roman" w:cs="Times New Roman"/>
                <w:sz w:val="28"/>
                <w:szCs w:val="28"/>
              </w:rPr>
            </w:pPr>
            <w:r>
              <w:rPr>
                <w:rFonts w:cs="Times New Roman" w:ascii="Times New Roman" w:hAnsi="Times New Roman"/>
                <w:sz w:val="28"/>
                <w:szCs w:val="28"/>
              </w:rPr>
              <w:t>Пановское сельское поселение</w:t>
            </w: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Набор коммунальных услуг и тип благоустройства, которому соответствует значение предельного индекса: холодное водоснабжение (жилые дома квартирного типа с водопроводом и центральной или местной (выгреб) канализацией, с ваннами и водонагревателями), водоотведение (жилые дома квартирного типа с водопроводом и центральной или местной (выгреб) канализацией, с ваннами и водонагревателями), электроснабжение (сельские населенные пункты, дома, оборудованные газовыми плитами), газоснабжение (сетевой газ), обращение с твердыми коммунальными отходами.</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Прогнозные размеры тарифов на коммунальные услуги с 01.07.2025 и темпы их изменения: электроснабжение – 4,19 руб./кВт∙ч (17,4 процента, с понижающим коэффициентом 0,732 для населения, проживающего в сельских населенных пунктах), газоснабжение – 8,41 руб./куб.м (12,6 процента), холодное водоснабжение – 40,51 руб./куб.м (49,2 процента), водоотведение – 48,50 руб./куб.м (34,3 процента), обращение с твердыми коммунальными отходами – 598,49 руб./куб.м (8,9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Объемы и (или)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индекс рассчитан исходя из принципа неизменности набора и объема потребляемых коммунальных услуг.</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более установленного индекса по республике</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(17,5 процента), но менее (или равно) установленного предельного индекса, превышающего установленный индекс по республике (17,5 процента) не более чем на величину отклонения по республике (4,8 процента), – 503 зарегистрированных жителя (доля по муниципальному образованию – 42,7 процента, доля по республике – 0,01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Совокупная сумма увеличения вносимой гражданами платы за коммунальные услуги в результате установления предельного индекса, превышающего установленный индекс по республике, составит с июля по декабрь 51,49 руб.</w:t>
            </w:r>
          </w:p>
          <w:p>
            <w:pPr>
              <w:pStyle w:val="Normal"/>
              <w:widowControl w:val="false"/>
              <w:shd w:val="clear" w:color="auto" w:fill="FFFFFF" w:themeFill="background1"/>
              <w:spacing w:lineRule="auto" w:line="235" w:before="0" w:after="0"/>
              <w:jc w:val="both"/>
              <w:rPr>
                <w:rFonts w:ascii="Times New Roman" w:hAnsi="Times New Roman" w:cs="Times New Roman"/>
                <w:strike/>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равно (или менее) установленному предельному индексу, – 675</w:t>
            </w:r>
            <w:r>
              <w:rPr>
                <w:rFonts w:cs="Times New Roman" w:ascii="Times New Roman" w:hAnsi="Times New Roman"/>
                <w:color w:val="FF0000"/>
                <w:sz w:val="28"/>
                <w:szCs w:val="28"/>
              </w:rPr>
              <w:t xml:space="preserve"> </w:t>
            </w:r>
            <w:r>
              <w:rPr>
                <w:rFonts w:cs="Times New Roman" w:ascii="Times New Roman" w:hAnsi="Times New Roman"/>
                <w:sz w:val="28"/>
                <w:szCs w:val="28"/>
              </w:rPr>
              <w:t>зарегистрированных жителей (доля по муниципальному образованию – 57,3 процентов, доля по республике – 0,02 процента)</w:t>
            </w:r>
          </w:p>
        </w:tc>
        <w:tc>
          <w:tcPr>
            <w:tcW w:w="295" w:type="dxa"/>
            <w:tcBorders>
              <w:lef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w:t>
            </w:r>
          </w:p>
        </w:tc>
      </w:tr>
    </w:tbl>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пункт 710 изложить в следующей редакции:</w:t>
      </w:r>
    </w:p>
    <w:tbl>
      <w:tblPr>
        <w:tblW w:w="9446" w:type="dxa"/>
        <w:jc w:val="left"/>
        <w:tblInd w:w="-142" w:type="dxa"/>
        <w:tblLayout w:type="fixed"/>
        <w:tblCellMar>
          <w:top w:w="0" w:type="dxa"/>
          <w:left w:w="0" w:type="dxa"/>
          <w:bottom w:w="0" w:type="dxa"/>
          <w:right w:w="0" w:type="dxa"/>
        </w:tblCellMar>
        <w:tblLook w:val="0000" w:noHBand="0" w:noVBand="0" w:firstColumn="0" w:lastRow="0" w:lastColumn="0" w:firstRow="0"/>
      </w:tblPr>
      <w:tblGrid>
        <w:gridCol w:w="290"/>
        <w:gridCol w:w="630"/>
        <w:gridCol w:w="1981"/>
        <w:gridCol w:w="6238"/>
        <w:gridCol w:w="307"/>
      </w:tblGrid>
      <w:tr>
        <w:trPr/>
        <w:tc>
          <w:tcPr>
            <w:tcW w:w="290" w:type="dxa"/>
            <w:tcBorders>
              <w:right w:val="single" w:sz="4" w:space="0" w:color="000000"/>
            </w:tcBorders>
          </w:tcPr>
          <w:p>
            <w:pPr>
              <w:pStyle w:val="Normal"/>
              <w:widowControl w:val="false"/>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w:t>
            </w:r>
          </w:p>
        </w:tc>
        <w:tc>
          <w:tcPr>
            <w:tcW w:w="630"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710</w:t>
            </w:r>
          </w:p>
        </w:tc>
        <w:tc>
          <w:tcPr>
            <w:tcW w:w="1981"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rPr>
                <w:rFonts w:ascii="Times New Roman" w:hAnsi="Times New Roman" w:cs="Times New Roman"/>
                <w:sz w:val="28"/>
                <w:szCs w:val="28"/>
              </w:rPr>
            </w:pPr>
            <w:r>
              <w:rPr>
                <w:rFonts w:cs="Times New Roman" w:ascii="Times New Roman" w:hAnsi="Times New Roman"/>
                <w:sz w:val="28"/>
                <w:szCs w:val="28"/>
              </w:rPr>
              <w:t>Пестречинское сельское поселение</w:t>
            </w:r>
          </w:p>
        </w:tc>
        <w:tc>
          <w:tcPr>
            <w:tcW w:w="6238"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Набор коммунальных услуг и тип благоустройства, которому соответствует значение предельного индекса: холодное водоснабжение (жилые дома квартирного типа с водопроводом и центральной или местной (выгреб) канализацией, с ваннами и водонагревателями), водоотведение (жилые дома квартирного типа с водопроводом и центральной или местной (выгреб) канализацией, с ваннами и водонагревателями), теплоснабжение (отопление жилых помещений в многоквартирных и жилых домах с централизованными системами теплоснабжения), электроснабжение (сельские населенные пункты, дома, оборудованные газовыми плитами), газоснабжение (сетевой газ), обращение с твердыми коммунальными отходами.</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Прогнозные размеры тарифов на коммунальные услуги с 01.07.2025 и темпы их изменения: электроснабжение – 4,19 руб./кВт∙ч (17,4 процента, с понижающим коэффициентом 0,732 для населения, проживающего в сельских населенных пунктах), газоснабжение – 8,41 руб./куб.м (12,6 процента), холодное водоснабжение – 40,51 руб./куб.м (49,2 процента), водоотведение – 75,54 руб./куб.м (39,9 процентов), теплоснабжение – 2</w:t>
            </w:r>
            <w:r>
              <w:rPr>
                <w:rFonts w:eastAsia="Times New Roman" w:cs="Times New Roman" w:ascii="Times New Roman" w:hAnsi="Times New Roman"/>
                <w:sz w:val="28"/>
                <w:szCs w:val="28"/>
              </w:rPr>
              <w:t> 500,37</w:t>
            </w:r>
            <w:r>
              <w:rPr>
                <w:rFonts w:cs="Times New Roman" w:ascii="Times New Roman" w:hAnsi="Times New Roman"/>
                <w:sz w:val="28"/>
                <w:szCs w:val="28"/>
              </w:rPr>
              <w:t xml:space="preserve"> руб./Гкал (19,9 процента), обращение с твердыми коммунальными отходами – 598,49 руб./куб.м (8,9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Объемы и (или)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индекс рассчитан исходя из принципа неизменности набора и объема потребляемых коммунальных услуг.</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более установленного индекса по республике</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(17,5 процента), но менее (или равно) установленного предельного индекса, превышающего установленный индекс по республике (17,5 процента) не более чем на величину отклонения по республике (4,8 процента), – 5</w:t>
            </w:r>
            <w:r>
              <w:rPr>
                <w:rFonts w:eastAsia="Times New Roman" w:cs="Times New Roman" w:ascii="Times New Roman" w:hAnsi="Times New Roman"/>
                <w:sz w:val="28"/>
                <w:szCs w:val="28"/>
              </w:rPr>
              <w:t> </w:t>
            </w:r>
            <w:r>
              <w:rPr>
                <w:rFonts w:cs="Times New Roman" w:ascii="Times New Roman" w:hAnsi="Times New Roman"/>
                <w:sz w:val="28"/>
                <w:szCs w:val="28"/>
              </w:rPr>
              <w:t>200 зарегистрированных жителей (доля по муниципальному образованию – 41,3 процента, доля по республике – 0,13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Совокупная сумма увеличения вносимой гражданами платы за коммунальные услуги в результате установления предельного индекса, превышающего установленный индекс по республике, составит с июля по декабрь 89,10 руб.</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равно (или менее) установленному предельному индексу, – 7</w:t>
            </w:r>
            <w:r>
              <w:rPr>
                <w:rFonts w:eastAsia="Times New Roman" w:cs="Times New Roman" w:ascii="Times New Roman" w:hAnsi="Times New Roman"/>
                <w:sz w:val="28"/>
                <w:szCs w:val="28"/>
              </w:rPr>
              <w:t> 378</w:t>
            </w:r>
            <w:r>
              <w:rPr>
                <w:rFonts w:cs="Times New Roman" w:ascii="Times New Roman" w:hAnsi="Times New Roman"/>
                <w:sz w:val="28"/>
                <w:szCs w:val="28"/>
              </w:rPr>
              <w:t xml:space="preserve"> зарегистрированных жителей (доля по муниципальному образованию – 58,7 процентов, доля по республике – 0,2 процента)</w:t>
            </w:r>
          </w:p>
        </w:tc>
        <w:tc>
          <w:tcPr>
            <w:tcW w:w="307" w:type="dxa"/>
            <w:tcBorders>
              <w:lef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w:t>
            </w:r>
          </w:p>
        </w:tc>
      </w:tr>
    </w:tbl>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пункт 715 изложить в следующей редакции:</w:t>
      </w:r>
    </w:p>
    <w:tbl>
      <w:tblPr>
        <w:tblW w:w="9423" w:type="dxa"/>
        <w:jc w:val="left"/>
        <w:tblInd w:w="-142" w:type="dxa"/>
        <w:tblLayout w:type="fixed"/>
        <w:tblCellMar>
          <w:top w:w="0" w:type="dxa"/>
          <w:left w:w="0" w:type="dxa"/>
          <w:bottom w:w="0" w:type="dxa"/>
          <w:right w:w="0" w:type="dxa"/>
        </w:tblCellMar>
        <w:tblLook w:val="0000" w:noHBand="0" w:noVBand="0" w:firstColumn="0" w:lastRow="0" w:lastColumn="0" w:firstRow="0"/>
      </w:tblPr>
      <w:tblGrid>
        <w:gridCol w:w="291"/>
        <w:gridCol w:w="626"/>
        <w:gridCol w:w="1985"/>
        <w:gridCol w:w="6237"/>
        <w:gridCol w:w="284"/>
      </w:tblGrid>
      <w:tr>
        <w:trPr>
          <w:trHeight w:val="5234" w:hRule="atLeast"/>
        </w:trPr>
        <w:tc>
          <w:tcPr>
            <w:tcW w:w="291" w:type="dxa"/>
            <w:tcBorders>
              <w:right w:val="single" w:sz="4" w:space="0" w:color="000000"/>
            </w:tcBorders>
          </w:tcPr>
          <w:p>
            <w:pPr>
              <w:pStyle w:val="Normal"/>
              <w:widowControl w:val="false"/>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w:t>
            </w:r>
          </w:p>
        </w:tc>
        <w:tc>
          <w:tcPr>
            <w:tcW w:w="626"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ind w:right="-75" w:hanging="0"/>
              <w:jc w:val="center"/>
              <w:rPr>
                <w:rFonts w:ascii="Times New Roman" w:hAnsi="Times New Roman" w:cs="Times New Roman"/>
                <w:sz w:val="28"/>
                <w:szCs w:val="28"/>
              </w:rPr>
            </w:pPr>
            <w:r>
              <w:rPr>
                <w:rFonts w:cs="Times New Roman" w:ascii="Times New Roman" w:hAnsi="Times New Roman"/>
                <w:sz w:val="28"/>
                <w:szCs w:val="28"/>
              </w:rPr>
              <w:t>715</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rPr>
                <w:rFonts w:ascii="Times New Roman" w:hAnsi="Times New Roman" w:cs="Times New Roman"/>
                <w:sz w:val="28"/>
                <w:szCs w:val="28"/>
              </w:rPr>
            </w:pPr>
            <w:r>
              <w:rPr>
                <w:rFonts w:cs="Times New Roman" w:ascii="Times New Roman" w:hAnsi="Times New Roman"/>
                <w:sz w:val="28"/>
                <w:szCs w:val="28"/>
              </w:rPr>
              <w:t>Шигалеевское сельское поселение</w:t>
            </w:r>
          </w:p>
        </w:tc>
        <w:tc>
          <w:tcPr>
            <w:tcW w:w="6237" w:type="dxa"/>
            <w:tcBorders>
              <w:top w:val="single" w:sz="4" w:space="0" w:color="000000"/>
              <w:left w:val="single" w:sz="4" w:space="0" w:color="000000"/>
              <w:bottom w:val="single" w:sz="4" w:space="0" w:color="000000"/>
              <w:right w:val="single" w:sz="4" w:space="0" w:color="000000"/>
            </w:tcBorders>
            <w:tcMar>
              <w:left w:w="75" w:type="dxa"/>
              <w:right w:w="75" w:type="dxa"/>
            </w:tcMar>
          </w:tcPr>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Набор коммунальных услуг и тип благоустройства, которому соответствует значение предельного индекса: холодное водоснабжение (жилые дома квартирного типа с водопроводом и центральной или местной (выгреб) канализацией, с газоснабжением), водоотведение (жилые дома квартирного типа с водопроводом и центральной или местной (выгреб) канализацией, с газоснабжением), электроснабжение (сельские населенные пункты, дома, оборудованные газовыми плитами), газоснабжение (сетевой газ), обращение с твердыми коммунальными отходами.</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Прогнозные размеры тарифов на коммунальные услуги с 01.07.2025 и темпы их изменения: электроснабжение – 4,19 руб./кВт∙ч (17,4 процента, с понижающим коэффициентом 0,732 для населения, проживающего в сельских населенных пунктах), газоснабжение – 8,41 руб./куб.м (12,6 процента), холодное водоснабжение – 44,59 руб./куб.м (14,4 процента), водоотведение – 58,54 руб./куб.м (98,2 процента), обращение с твердыми коммунальными отходами – 598,49 руб./куб.м (8,9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Объемы и (или)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индекс рассчитан исходя из принципа неизменности набора и объема потребляемых коммунальных услуг.</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более установленного индекса по республике</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(17,5 процента), но менее (или равно) установленного предельного индекса, превышающего установленный индекс по республике (17,5 процента) не более чем на величину отклонения по республике (4,8 процента), – 2</w:t>
            </w:r>
            <w:r>
              <w:rPr>
                <w:rFonts w:eastAsia="Times New Roman" w:cs="Times New Roman" w:ascii="Times New Roman" w:hAnsi="Times New Roman"/>
                <w:sz w:val="28"/>
                <w:szCs w:val="28"/>
              </w:rPr>
              <w:t> </w:t>
            </w:r>
            <w:r>
              <w:rPr>
                <w:rFonts w:cs="Times New Roman" w:ascii="Times New Roman" w:hAnsi="Times New Roman"/>
                <w:sz w:val="28"/>
                <w:szCs w:val="28"/>
              </w:rPr>
              <w:t>482 зарегистрированных жителей (доля по муниципальному образованию – 26,5 процента, доля по республике – 0,1 процента).</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Совокупная сумма увеличения вносимой гражданами платы за коммунальные услуги в результате установления предельного индекса, превышающего установленный индекс по республике, составит с июля по декабрь 43,46 руб.</w:t>
            </w:r>
          </w:p>
          <w:p>
            <w:pPr>
              <w:pStyle w:val="Normal"/>
              <w:widowControl w:val="false"/>
              <w:shd w:val="clear" w:color="auto" w:fill="FFFFFF" w:themeFill="background1"/>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Численность населения, изменение размера платы за коммунальные услуги в отношении которого равно (или менее) установленному предельному индексу, – 6 880 зарегистрированных жителей (доля по муниципальному образованию – 73,5 процентов, доля по республике – 0,2 процента)</w:t>
            </w:r>
          </w:p>
        </w:tc>
        <w:tc>
          <w:tcPr>
            <w:tcW w:w="284" w:type="dxa"/>
            <w:tcBorders>
              <w:lef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w:t>
            </w:r>
          </w:p>
        </w:tc>
      </w:tr>
    </w:tbl>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абзацы 4 и 5 изложить в следующей редакции:</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«По 868 муниципальным образованиям Республики Татарстан предельные индексы установлены на уровне среднего индекса по Республике Татарстан, утвержденного распоряжением Правительства Российской Федерации от 15 ноября 2024 года № 3287-р в размере 17,5 процента. Численность населения, изменение размера платы за коммунальные услуги в отношении которого равно (или менее) установленному индексу по Республике Татарстан, - 2</w:t>
      </w:r>
      <w:r>
        <w:rPr>
          <w:rFonts w:eastAsia="Times New Roman" w:cs="Times New Roman" w:ascii="Times New Roman" w:hAnsi="Times New Roman"/>
          <w:sz w:val="28"/>
          <w:szCs w:val="28"/>
        </w:rPr>
        <w:t> </w:t>
      </w:r>
      <w:r>
        <w:rPr>
          <w:rFonts w:eastAsia="Calibri" w:cs="Times New Roman" w:ascii="Times New Roman" w:hAnsi="Times New Roman"/>
          <w:sz w:val="28"/>
          <w:szCs w:val="28"/>
        </w:rPr>
        <w:t>376</w:t>
      </w:r>
      <w:r>
        <w:rPr>
          <w:rFonts w:eastAsia="Times New Roman" w:cs="Times New Roman" w:ascii="Times New Roman" w:hAnsi="Times New Roman"/>
          <w:sz w:val="28"/>
          <w:szCs w:val="28"/>
        </w:rPr>
        <w:t> </w:t>
      </w:r>
      <w:r>
        <w:rPr>
          <w:rFonts w:eastAsia="Calibri" w:cs="Times New Roman" w:ascii="Times New Roman" w:hAnsi="Times New Roman"/>
          <w:sz w:val="28"/>
          <w:szCs w:val="28"/>
        </w:rPr>
        <w:t>910 зарегистрированных жителей (доля по республике - 59,4 процента).</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Для 45 муниципальных образований (в том числе 19 городов, </w:t>
        <w:br/>
        <w:t xml:space="preserve">14 поселков городского типа, 12 сельских поселений) предусмотрено значение предельного индекса с учетом предельно допустимого отклонения </w:t>
        <w:br/>
        <w:t>(4,8 процента) на уровне 22,3 процента. Прогнозная численность населения, изменение размера платы за коммунальные услуги в отношении которого более установленного индекса по республике, но менее (или равно) установленного предельного индекса, превышающего установленный индекс по республике не более чем на величину отклонения по республике, - 1</w:t>
      </w:r>
      <w:r>
        <w:rPr>
          <w:rFonts w:eastAsia="Times New Roman" w:cs="Times New Roman" w:ascii="Times New Roman" w:hAnsi="Times New Roman"/>
          <w:sz w:val="28"/>
          <w:szCs w:val="28"/>
        </w:rPr>
        <w:t> </w:t>
      </w:r>
      <w:r>
        <w:rPr>
          <w:rFonts w:eastAsia="Calibri" w:cs="Times New Roman" w:ascii="Times New Roman" w:hAnsi="Times New Roman"/>
          <w:sz w:val="28"/>
          <w:szCs w:val="28"/>
        </w:rPr>
        <w:t>626</w:t>
      </w:r>
      <w:r>
        <w:rPr>
          <w:rFonts w:eastAsia="Times New Roman" w:cs="Times New Roman" w:ascii="Times New Roman" w:hAnsi="Times New Roman"/>
          <w:sz w:val="28"/>
          <w:szCs w:val="28"/>
        </w:rPr>
        <w:t> </w:t>
      </w:r>
      <w:r>
        <w:rPr>
          <w:rFonts w:eastAsia="Calibri" w:cs="Times New Roman" w:ascii="Times New Roman" w:hAnsi="Times New Roman"/>
          <w:sz w:val="28"/>
          <w:szCs w:val="28"/>
        </w:rPr>
        <w:t>106 зарегистрированных жителей (доля по республике - 40,6 процента).».</w:t>
      </w:r>
    </w:p>
    <w:p>
      <w:pPr>
        <w:pStyle w:val="Normal"/>
        <w:spacing w:lineRule="auto" w:line="228" w:before="0" w:after="0"/>
        <w:ind w:firstLine="709"/>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lang w:val="tt-RU"/>
        </w:rPr>
        <w:t>2</w:t>
      </w:r>
      <w:r>
        <w:rPr>
          <w:rFonts w:eastAsia="Calibri" w:cs="Times New Roman" w:ascii="Times New Roman" w:hAnsi="Times New Roman"/>
          <w:sz w:val="28"/>
          <w:szCs w:val="28"/>
        </w:rPr>
        <w:t>. Настоящий Указ вступает в силу по истечении 10 дней после дня его официального опубликования.</w:t>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28"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tbl>
      <w:tblPr>
        <w:tblW w:w="97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14"/>
        <w:gridCol w:w="6498"/>
      </w:tblGrid>
      <w:tr>
        <w:trPr/>
        <w:tc>
          <w:tcPr>
            <w:tcW w:w="3214" w:type="dxa"/>
            <w:tcBorders/>
          </w:tcPr>
          <w:p>
            <w:pPr>
              <w:pStyle w:val="Normal"/>
              <w:widowControl w:val="false"/>
              <w:tabs>
                <w:tab w:val="clear" w:pos="708"/>
                <w:tab w:val="left" w:pos="10080" w:leader="none"/>
              </w:tabs>
              <w:spacing w:lineRule="auto" w:line="240" w:before="0" w:after="0"/>
              <w:ind w:right="-19" w:hanging="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Раис</w:t>
            </w:r>
          </w:p>
          <w:p>
            <w:pPr>
              <w:pStyle w:val="Normal"/>
              <w:widowControl w:val="false"/>
              <w:tabs>
                <w:tab w:val="clear" w:pos="708"/>
                <w:tab w:val="left" w:pos="10080" w:leader="none"/>
              </w:tabs>
              <w:spacing w:lineRule="auto" w:line="240" w:before="0" w:after="0"/>
              <w:ind w:right="-19"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Республики Татарстан</w:t>
            </w:r>
          </w:p>
        </w:tc>
        <w:tc>
          <w:tcPr>
            <w:tcW w:w="6498" w:type="dxa"/>
            <w:tcBorders/>
          </w:tcPr>
          <w:p>
            <w:pPr>
              <w:pStyle w:val="Normal"/>
              <w:widowControl w:val="false"/>
              <w:tabs>
                <w:tab w:val="clear" w:pos="708"/>
                <w:tab w:val="left" w:pos="10080" w:leader="none"/>
              </w:tabs>
              <w:spacing w:lineRule="auto" w:line="240" w:before="0" w:after="0"/>
              <w:ind w:right="-19" w:hanging="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tabs>
                <w:tab w:val="clear" w:pos="708"/>
                <w:tab w:val="left" w:pos="10080" w:leader="none"/>
              </w:tabs>
              <w:spacing w:lineRule="auto" w:line="240" w:before="0" w:after="0"/>
              <w:ind w:right="-19" w:hanging="0"/>
              <w:jc w:val="right"/>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Р.Н. Минниханов</w:t>
            </w:r>
          </w:p>
        </w:tc>
      </w:tr>
    </w:tbl>
    <w:p>
      <w:pPr>
        <w:pStyle w:val="Normal"/>
        <w:spacing w:lineRule="auto" w:line="240" w:before="0" w:after="0"/>
        <w:ind w:right="-2"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bCs/>
          <w:sz w:val="28"/>
          <w:szCs w:val="28"/>
          <w:lang w:eastAsia="ru-RU"/>
        </w:rPr>
        <w:t xml:space="preserve"> </w:t>
      </w:r>
    </w:p>
    <w:p>
      <w:pPr>
        <w:pStyle w:val="Normal"/>
        <w:widowControl/>
        <w:bidi w:val="0"/>
        <w:spacing w:lineRule="auto" w:line="276" w:before="0" w:after="200"/>
        <w:jc w:val="left"/>
        <w:rPr/>
      </w:pPr>
      <w:r>
        <w:rPr/>
      </w:r>
    </w:p>
    <w:sectPr>
      <w:headerReference w:type="even" r:id="rId2"/>
      <w:headerReference w:type="default" r:id="rId3"/>
      <w:type w:val="nextPage"/>
      <w:pgSz w:w="11906" w:h="16838"/>
      <w:pgMar w:left="1418" w:right="991" w:gutter="0" w:header="709" w:top="1134" w:footer="0" w:bottom="1134"/>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4.4pt;mso-position-horizontal:center;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395a"/>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487e2a"/>
    <w:pPr>
      <w:keepNext w:val="true"/>
      <w:spacing w:lineRule="auto" w:line="240" w:before="0" w:after="0"/>
      <w:jc w:val="center"/>
      <w:outlineLvl w:val="0"/>
    </w:pPr>
    <w:rPr>
      <w:rFonts w:ascii="Times New Roman" w:hAnsi="Times New Roman" w:eastAsia="Times New Roman" w:cs="Times New Roman"/>
      <w:b/>
      <w:sz w:val="40"/>
      <w:szCs w:val="20"/>
      <w:lang w:eastAsia="ru-RU"/>
    </w:rPr>
  </w:style>
  <w:style w:type="paragraph" w:styleId="2">
    <w:name w:val="Heading 2"/>
    <w:basedOn w:val="Normal"/>
    <w:next w:val="Normal"/>
    <w:link w:val="21"/>
    <w:qFormat/>
    <w:rsid w:val="00487e2a"/>
    <w:pPr>
      <w:keepNext w:val="true"/>
      <w:spacing w:lineRule="auto" w:line="240" w:before="0" w:after="0"/>
      <w:ind w:left="2160" w:hanging="0"/>
      <w:outlineLvl w:val="1"/>
    </w:pPr>
    <w:rPr>
      <w:rFonts w:ascii="Times New Roman" w:hAnsi="Times New Roman" w:eastAsia="Times New Roman" w:cs="Times New Roman"/>
      <w:b/>
      <w:sz w:val="24"/>
      <w:szCs w:val="20"/>
      <w:lang w:eastAsia="ru-RU"/>
    </w:rPr>
  </w:style>
  <w:style w:type="paragraph" w:styleId="3">
    <w:name w:val="Heading 3"/>
    <w:basedOn w:val="Normal"/>
    <w:next w:val="Normal"/>
    <w:link w:val="31"/>
    <w:qFormat/>
    <w:rsid w:val="00487e2a"/>
    <w:pPr>
      <w:keepNext w:val="true"/>
      <w:spacing w:lineRule="auto" w:line="240" w:before="0" w:after="0"/>
      <w:ind w:left="7200" w:hanging="0"/>
      <w:outlineLvl w:val="2"/>
    </w:pPr>
    <w:rPr>
      <w:rFonts w:ascii="Times New Roman" w:hAnsi="Times New Roman" w:eastAsia="Times New Roman" w:cs="Times New Roman"/>
      <w:b/>
      <w:sz w:val="24"/>
      <w:szCs w:val="20"/>
      <w:lang w:eastAsia="ru-RU"/>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df0a49"/>
    <w:rPr>
      <w:rFonts w:ascii="Times New Roman" w:hAnsi="Times New Roman" w:eastAsia="Times New Roman" w:cs="Times New Roman"/>
      <w:sz w:val="24"/>
      <w:szCs w:val="24"/>
      <w:lang w:eastAsia="ru-RU"/>
    </w:rPr>
  </w:style>
  <w:style w:type="character" w:styleId="Pagenumber">
    <w:name w:val="page number"/>
    <w:basedOn w:val="DefaultParagraphFont"/>
    <w:qFormat/>
    <w:rsid w:val="00df0a49"/>
    <w:rPr/>
  </w:style>
  <w:style w:type="character" w:styleId="11" w:customStyle="1">
    <w:name w:val="Заголовок 1 Знак"/>
    <w:basedOn w:val="DefaultParagraphFont"/>
    <w:qFormat/>
    <w:rsid w:val="00487e2a"/>
    <w:rPr>
      <w:rFonts w:ascii="Times New Roman" w:hAnsi="Times New Roman" w:eastAsia="Times New Roman" w:cs="Times New Roman"/>
      <w:b/>
      <w:sz w:val="40"/>
      <w:szCs w:val="20"/>
      <w:lang w:eastAsia="ru-RU"/>
    </w:rPr>
  </w:style>
  <w:style w:type="character" w:styleId="21" w:customStyle="1">
    <w:name w:val="Заголовок 2 Знак"/>
    <w:basedOn w:val="DefaultParagraphFont"/>
    <w:qFormat/>
    <w:rsid w:val="00487e2a"/>
    <w:rPr>
      <w:rFonts w:ascii="Times New Roman" w:hAnsi="Times New Roman" w:eastAsia="Times New Roman" w:cs="Times New Roman"/>
      <w:b/>
      <w:sz w:val="24"/>
      <w:szCs w:val="20"/>
      <w:lang w:eastAsia="ru-RU"/>
    </w:rPr>
  </w:style>
  <w:style w:type="character" w:styleId="31" w:customStyle="1">
    <w:name w:val="Заголовок 3 Знак"/>
    <w:basedOn w:val="DefaultParagraphFont"/>
    <w:qFormat/>
    <w:rsid w:val="00487e2a"/>
    <w:rPr>
      <w:rFonts w:ascii="Times New Roman" w:hAnsi="Times New Roman" w:eastAsia="Times New Roman" w:cs="Times New Roman"/>
      <w:b/>
      <w:sz w:val="24"/>
      <w:szCs w:val="20"/>
      <w:lang w:eastAsia="ru-RU"/>
    </w:rPr>
  </w:style>
  <w:style w:type="character" w:styleId="Style12" w:customStyle="1">
    <w:name w:val="Текст выноски Знак"/>
    <w:basedOn w:val="DefaultParagraphFont"/>
    <w:link w:val="BalloonText"/>
    <w:uiPriority w:val="99"/>
    <w:semiHidden/>
    <w:qFormat/>
    <w:rsid w:val="00487e2a"/>
    <w:rPr>
      <w:rFonts w:ascii="Tahoma" w:hAnsi="Tahoma" w:eastAsia="Times New Roman" w:cs="Times New Roman"/>
      <w:sz w:val="16"/>
      <w:szCs w:val="16"/>
      <w:lang w:eastAsia="ru-RU"/>
    </w:rPr>
  </w:style>
  <w:style w:type="character" w:styleId="FontStyle11" w:customStyle="1">
    <w:name w:val="Font Style11"/>
    <w:uiPriority w:val="99"/>
    <w:qFormat/>
    <w:rsid w:val="00487e2a"/>
    <w:rPr>
      <w:rFonts w:ascii="Times New Roman" w:hAnsi="Times New Roman" w:cs="Times New Roman"/>
      <w:b/>
      <w:bCs/>
      <w:sz w:val="30"/>
      <w:szCs w:val="30"/>
    </w:rPr>
  </w:style>
  <w:style w:type="character" w:styleId="-">
    <w:name w:val="Hyperlink"/>
    <w:rsid w:val="00487e2a"/>
    <w:rPr>
      <w:color w:val="0000FF"/>
      <w:u w:val="single"/>
    </w:rPr>
  </w:style>
  <w:style w:type="character" w:styleId="Style13" w:customStyle="1">
    <w:name w:val="Основной текст Знак"/>
    <w:basedOn w:val="DefaultParagraphFont"/>
    <w:qFormat/>
    <w:rsid w:val="00487e2a"/>
    <w:rPr>
      <w:rFonts w:ascii="Times New Roman" w:hAnsi="Times New Roman" w:eastAsia="Times New Roman" w:cs="Times New Roman"/>
      <w:sz w:val="24"/>
      <w:szCs w:val="20"/>
      <w:lang w:eastAsia="ru-RU"/>
    </w:rPr>
  </w:style>
  <w:style w:type="character" w:styleId="22" w:customStyle="1">
    <w:name w:val="Основной текст с отступом 2 Знак"/>
    <w:basedOn w:val="DefaultParagraphFont"/>
    <w:link w:val="BodyTextIndent2"/>
    <w:uiPriority w:val="99"/>
    <w:semiHidden/>
    <w:qFormat/>
    <w:rsid w:val="00487e2a"/>
    <w:rPr>
      <w:rFonts w:ascii="Times New Roman" w:hAnsi="Times New Roman" w:eastAsia="Times New Roman" w:cs="Times New Roman"/>
      <w:sz w:val="24"/>
      <w:szCs w:val="24"/>
      <w:lang w:eastAsia="ru-RU"/>
    </w:rPr>
  </w:style>
  <w:style w:type="character" w:styleId="PlaceholderText">
    <w:name w:val="Placeholder Text"/>
    <w:basedOn w:val="DefaultParagraphFont"/>
    <w:uiPriority w:val="99"/>
    <w:semiHidden/>
    <w:qFormat/>
    <w:rsid w:val="00487e2a"/>
    <w:rPr>
      <w:color w:val="808080"/>
    </w:rPr>
  </w:style>
  <w:style w:type="character" w:styleId="Style14" w:customStyle="1">
    <w:name w:val="Нижний колонтитул Знак"/>
    <w:basedOn w:val="DefaultParagraphFont"/>
    <w:link w:val="13"/>
    <w:uiPriority w:val="99"/>
    <w:qFormat/>
    <w:rsid w:val="00487e2a"/>
    <w:rPr>
      <w:rFonts w:ascii="Calibri" w:hAnsi="Calibri" w:eastAsia="Calibri" w:cs="Times New Roman"/>
      <w:sz w:val="22"/>
      <w:szCs w:val="22"/>
      <w:lang w:eastAsia="en-US"/>
    </w:rPr>
  </w:style>
  <w:style w:type="character" w:styleId="12" w:customStyle="1">
    <w:name w:val="Нижний колонтитул Знак1"/>
    <w:basedOn w:val="DefaultParagraphFont"/>
    <w:uiPriority w:val="99"/>
    <w:qFormat/>
    <w:rsid w:val="00487e2a"/>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link w:val="Style13"/>
    <w:rsid w:val="00487e2a"/>
    <w:pPr>
      <w:spacing w:lineRule="auto" w:line="240" w:before="0" w:after="0"/>
      <w:jc w:val="both"/>
    </w:pPr>
    <w:rPr>
      <w:rFonts w:ascii="Times New Roman" w:hAnsi="Times New Roman" w:eastAsia="Times New Roman" w:cs="Times New Roman"/>
      <w:sz w:val="24"/>
      <w:szCs w:val="20"/>
      <w:lang w:eastAsia="ru-RU"/>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Колонтитул"/>
    <w:basedOn w:val="Normal"/>
    <w:qFormat/>
    <w:pPr/>
    <w:rPr/>
  </w:style>
  <w:style w:type="paragraph" w:styleId="Style21">
    <w:name w:val="Header"/>
    <w:basedOn w:val="Normal"/>
    <w:link w:val="Style11"/>
    <w:uiPriority w:val="99"/>
    <w:rsid w:val="00df0a49"/>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BalloonText">
    <w:name w:val="Balloon Text"/>
    <w:basedOn w:val="Normal"/>
    <w:link w:val="Style12"/>
    <w:uiPriority w:val="99"/>
    <w:semiHidden/>
    <w:unhideWhenUsed/>
    <w:qFormat/>
    <w:rsid w:val="00487e2a"/>
    <w:pPr>
      <w:spacing w:lineRule="auto" w:line="240" w:before="0" w:after="0"/>
    </w:pPr>
    <w:rPr>
      <w:rFonts w:ascii="Tahoma" w:hAnsi="Tahoma" w:eastAsia="Times New Roman" w:cs="Times New Roman"/>
      <w:sz w:val="16"/>
      <w:szCs w:val="16"/>
      <w:lang w:eastAsia="ru-RU"/>
    </w:rPr>
  </w:style>
  <w:style w:type="paragraph" w:styleId="ConsPlusNormal" w:customStyle="1">
    <w:name w:val="ConsPlusNormal"/>
    <w:uiPriority w:val="99"/>
    <w:qFormat/>
    <w:rsid w:val="00487e2a"/>
    <w:pPr>
      <w:widowControl/>
      <w:bidi w:val="0"/>
      <w:spacing w:lineRule="auto" w:line="240" w:before="0" w:after="0"/>
      <w:ind w:firstLine="720"/>
      <w:jc w:val="left"/>
    </w:pPr>
    <w:rPr>
      <w:rFonts w:ascii="Arial" w:hAnsi="Arial" w:eastAsia="Calibri" w:cs="Arial" w:eastAsiaTheme="minorHAnsi"/>
      <w:color w:val="auto"/>
      <w:kern w:val="0"/>
      <w:sz w:val="20"/>
      <w:szCs w:val="20"/>
      <w:lang w:val="ru-RU" w:eastAsia="en-US" w:bidi="ar-SA"/>
    </w:rPr>
  </w:style>
  <w:style w:type="paragraph" w:styleId="ConsPlusTitle" w:customStyle="1">
    <w:name w:val="ConsPlusTitle"/>
    <w:uiPriority w:val="99"/>
    <w:qFormat/>
    <w:rsid w:val="00487e2a"/>
    <w:pPr>
      <w:widowControl/>
      <w:bidi w:val="0"/>
      <w:spacing w:lineRule="auto" w:line="240" w:before="0" w:after="0"/>
      <w:jc w:val="left"/>
    </w:pPr>
    <w:rPr>
      <w:rFonts w:ascii="Arial" w:hAnsi="Arial" w:eastAsia="Calibri" w:cs="Arial" w:eastAsiaTheme="minorHAnsi"/>
      <w:b/>
      <w:bCs/>
      <w:color w:val="auto"/>
      <w:kern w:val="0"/>
      <w:sz w:val="20"/>
      <w:szCs w:val="20"/>
      <w:lang w:val="ru-RU" w:eastAsia="en-US" w:bidi="ar-SA"/>
    </w:rPr>
  </w:style>
  <w:style w:type="paragraph" w:styleId="NoSpacing">
    <w:name w:val="No Spacing"/>
    <w:uiPriority w:val="99"/>
    <w:qFormat/>
    <w:rsid w:val="00487e2a"/>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odyTextIndent2">
    <w:name w:val="Body Text Indent 2"/>
    <w:basedOn w:val="Normal"/>
    <w:link w:val="22"/>
    <w:uiPriority w:val="99"/>
    <w:semiHidden/>
    <w:unhideWhenUsed/>
    <w:qFormat/>
    <w:rsid w:val="00487e2a"/>
    <w:pPr>
      <w:spacing w:lineRule="auto" w:line="480" w:before="0" w:after="120"/>
      <w:ind w:left="283" w:hanging="0"/>
    </w:pPr>
    <w:rPr>
      <w:rFonts w:ascii="Times New Roman" w:hAnsi="Times New Roman" w:eastAsia="Times New Roman" w:cs="Times New Roman"/>
      <w:sz w:val="24"/>
      <w:szCs w:val="24"/>
      <w:lang w:eastAsia="ru-RU"/>
    </w:rPr>
  </w:style>
  <w:style w:type="paragraph" w:styleId="13" w:customStyle="1">
    <w:name w:val="Нижний колонтитул1"/>
    <w:basedOn w:val="Normal"/>
    <w:next w:val="Style22"/>
    <w:link w:val="Style14"/>
    <w:uiPriority w:val="99"/>
    <w:unhideWhenUsed/>
    <w:qFormat/>
    <w:rsid w:val="00487e2a"/>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Style22">
    <w:name w:val="Footer"/>
    <w:basedOn w:val="Normal"/>
    <w:link w:val="12"/>
    <w:uiPriority w:val="99"/>
    <w:unhideWhenUsed/>
    <w:rsid w:val="00487e2a"/>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8447f"/>
    <w:pPr>
      <w:spacing w:before="0" w:after="200"/>
      <w:ind w:left="720" w:hanging="0"/>
      <w:contextualSpacing/>
    </w:pPr>
    <w:rPr/>
  </w:style>
  <w:style w:type="paragraph" w:styleId="NormalWeb">
    <w:name w:val="Normal (Web)"/>
    <w:basedOn w:val="Normal"/>
    <w:uiPriority w:val="99"/>
    <w:semiHidden/>
    <w:unhideWhenUsed/>
    <w:qFormat/>
    <w:rsid w:val="00684835"/>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Содержимое врезки"/>
    <w:basedOn w:val="Normal"/>
    <w:qFormat/>
    <w:pPr/>
    <w:rPr/>
  </w:style>
  <w:style w:type="numbering" w:styleId="NoList" w:default="1">
    <w:name w:val="No List"/>
    <w:uiPriority w:val="99"/>
    <w:semiHidden/>
    <w:unhideWhenUsed/>
    <w:qFormat/>
  </w:style>
  <w:style w:type="numbering" w:styleId="14" w:customStyle="1">
    <w:name w:val="Нет списка1"/>
    <w:uiPriority w:val="99"/>
    <w:semiHidden/>
    <w:unhideWhenUsed/>
    <w:qFormat/>
    <w:rsid w:val="00487e2a"/>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6BCB7-1C12-4741-8CBF-3FCC18F6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Application>LibreOffice/7.5.6.2$Linux_X86_64 LibreOffice_project/50$Build-2</Application>
  <AppVersion>15.0000</AppVersion>
  <Pages>9</Pages>
  <Words>2055</Words>
  <Characters>14942</Characters>
  <CharactersWithSpaces>16979</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2017-11-13T13:09:00Z</dcterms:created>
  <dc:creator/>
  <dc:description/>
  <dc:language>ru-RU</dc:language>
  <cp:lastModifiedBy>Хаметова Лилия Тебрисовна</cp:lastModifiedBy>
  <cp:lastPrinted>2025-05-29T06:50:00Z</cp:lastPrinted>
  <dcterms:modified xsi:type="dcterms:W3CDTF">2025-06-17T07:30:00Z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