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0D3FB4" w:rsidP="000D3FB4">
      <w:pPr>
        <w:ind w:right="5244"/>
        <w:jc w:val="both"/>
        <w:rPr>
          <w:spacing w:val="-4"/>
          <w:sz w:val="28"/>
          <w:szCs w:val="28"/>
        </w:rPr>
      </w:pPr>
      <w:r w:rsidRPr="000D3FB4">
        <w:rPr>
          <w:rFonts w:eastAsia="Calibri"/>
          <w:sz w:val="28"/>
          <w:szCs w:val="28"/>
        </w:rPr>
        <w:t>О корректировке на 2025 год долгосрочных тарифов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0D3FB4">
        <w:rPr>
          <w:rFonts w:eastAsia="Calibri"/>
          <w:sz w:val="28"/>
          <w:szCs w:val="28"/>
        </w:rPr>
        <w:t xml:space="preserve">на транспортировку холодной воды </w:t>
      </w:r>
      <w:r>
        <w:rPr>
          <w:rFonts w:eastAsia="Calibri"/>
          <w:sz w:val="28"/>
          <w:szCs w:val="28"/>
        </w:rPr>
        <w:br/>
      </w:r>
      <w:r w:rsidRPr="000D3FB4">
        <w:rPr>
          <w:rFonts w:eastAsia="Calibri"/>
          <w:sz w:val="28"/>
          <w:szCs w:val="28"/>
        </w:rPr>
        <w:t xml:space="preserve">и транспортировку сточных вод </w:t>
      </w:r>
      <w:r>
        <w:rPr>
          <w:rFonts w:eastAsia="Calibri"/>
          <w:sz w:val="28"/>
          <w:szCs w:val="28"/>
        </w:rPr>
        <w:br/>
      </w:r>
      <w:r w:rsidRPr="000D3FB4">
        <w:rPr>
          <w:rFonts w:eastAsia="Calibri"/>
          <w:sz w:val="28"/>
          <w:szCs w:val="28"/>
        </w:rPr>
        <w:t>для Общества с ограниченной ответственностью «</w:t>
      </w:r>
      <w:proofErr w:type="spellStart"/>
      <w:r w:rsidRPr="000D3FB4">
        <w:rPr>
          <w:rFonts w:eastAsia="Calibri"/>
          <w:sz w:val="28"/>
          <w:szCs w:val="28"/>
        </w:rPr>
        <w:t>ТеплоГрупп</w:t>
      </w:r>
      <w:proofErr w:type="spellEnd"/>
      <w:r w:rsidRPr="000D3FB4">
        <w:rPr>
          <w:rFonts w:eastAsia="Calibri"/>
          <w:sz w:val="28"/>
          <w:szCs w:val="28"/>
        </w:rPr>
        <w:t xml:space="preserve">», </w:t>
      </w:r>
      <w:r w:rsidRPr="000D3FB4">
        <w:rPr>
          <w:sz w:val="28"/>
          <w:szCs w:val="28"/>
        </w:rPr>
        <w:t xml:space="preserve">установленных постановлением Государственного комитета Республики Татарстан </w:t>
      </w:r>
      <w:r w:rsidRPr="000D3FB4">
        <w:rPr>
          <w:spacing w:val="-4"/>
          <w:sz w:val="28"/>
          <w:szCs w:val="28"/>
        </w:rPr>
        <w:t xml:space="preserve">по тарифам </w:t>
      </w:r>
      <w:r w:rsidRPr="000D3FB4">
        <w:rPr>
          <w:rFonts w:eastAsia="Calibri"/>
          <w:spacing w:val="-4"/>
          <w:sz w:val="28"/>
          <w:szCs w:val="28"/>
        </w:rPr>
        <w:t xml:space="preserve">от 13.12.2023 </w:t>
      </w:r>
      <w:r>
        <w:rPr>
          <w:rFonts w:eastAsia="Calibri"/>
          <w:spacing w:val="-4"/>
          <w:sz w:val="28"/>
          <w:szCs w:val="28"/>
        </w:rPr>
        <w:br/>
      </w:r>
      <w:r w:rsidRPr="000D3FB4">
        <w:rPr>
          <w:rFonts w:eastAsia="Calibri"/>
          <w:spacing w:val="-4"/>
          <w:sz w:val="28"/>
          <w:szCs w:val="28"/>
        </w:rPr>
        <w:t xml:space="preserve">№ </w:t>
      </w:r>
      <w:r w:rsidRPr="000D3FB4">
        <w:rPr>
          <w:rFonts w:eastAsia="Calibri"/>
          <w:bCs/>
          <w:spacing w:val="-4"/>
          <w:sz w:val="28"/>
          <w:szCs w:val="28"/>
        </w:rPr>
        <w:t>557-53/кс-2023</w:t>
      </w:r>
      <w:r w:rsidRPr="000D3FB4">
        <w:rPr>
          <w:rFonts w:eastAsia="Calibri"/>
          <w:spacing w:val="-4"/>
          <w:sz w:val="28"/>
          <w:szCs w:val="28"/>
        </w:rPr>
        <w:t xml:space="preserve">, и </w:t>
      </w:r>
      <w:r w:rsidRPr="000D3FB4">
        <w:rPr>
          <w:sz w:val="28"/>
          <w:szCs w:val="28"/>
        </w:rPr>
        <w:t xml:space="preserve">внесении изменений </w:t>
      </w:r>
      <w:r w:rsidRPr="000D3FB4">
        <w:rPr>
          <w:sz w:val="28"/>
          <w:szCs w:val="28"/>
        </w:rPr>
        <w:br/>
        <w:t xml:space="preserve">в постановление Государственного комитета Республики Татарстан </w:t>
      </w:r>
      <w:r>
        <w:rPr>
          <w:sz w:val="28"/>
          <w:szCs w:val="28"/>
        </w:rPr>
        <w:br/>
      </w:r>
      <w:r w:rsidRPr="000D3FB4">
        <w:rPr>
          <w:sz w:val="28"/>
          <w:szCs w:val="28"/>
        </w:rPr>
        <w:t xml:space="preserve">по тарифам от 13.12.2023 </w:t>
      </w:r>
      <w:r w:rsidRPr="000D3FB4">
        <w:rPr>
          <w:sz w:val="28"/>
          <w:szCs w:val="28"/>
        </w:rPr>
        <w:br/>
        <w:t xml:space="preserve">№ </w:t>
      </w:r>
      <w:r w:rsidRPr="000D3FB4">
        <w:rPr>
          <w:bCs/>
          <w:sz w:val="28"/>
          <w:szCs w:val="28"/>
        </w:rPr>
        <w:t>557-53/кс-2023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0D3FB4" w:rsidRPr="000D3FB4" w:rsidRDefault="000D3FB4" w:rsidP="000D3FB4">
      <w:pPr>
        <w:rPr>
          <w:b/>
          <w:sz w:val="28"/>
          <w:szCs w:val="16"/>
        </w:rPr>
      </w:pPr>
    </w:p>
    <w:p w:rsidR="000D3FB4" w:rsidRPr="000D3FB4" w:rsidRDefault="000D3FB4" w:rsidP="000D3FB4">
      <w:pPr>
        <w:ind w:firstLine="709"/>
        <w:jc w:val="both"/>
        <w:rPr>
          <w:sz w:val="28"/>
          <w:szCs w:val="28"/>
        </w:rPr>
      </w:pPr>
      <w:proofErr w:type="gramStart"/>
      <w:r w:rsidRPr="000D3FB4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0D3FB4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D3FB4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0D3FB4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0D3FB4">
        <w:rPr>
          <w:sz w:val="28"/>
          <w:szCs w:val="28"/>
        </w:rPr>
        <w:t xml:space="preserve"> декабря 2013 г. № 1746-э «Об утверждении </w:t>
      </w:r>
      <w:proofErr w:type="gramStart"/>
      <w:r w:rsidRPr="000D3FB4">
        <w:rPr>
          <w:sz w:val="28"/>
          <w:szCs w:val="28"/>
        </w:rPr>
        <w:t xml:space="preserve">Методических указаний по расчету регулируемых тарифов в сфере водоснабжения </w:t>
      </w:r>
      <w:r w:rsidRPr="000D3FB4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t>от 19.12.2024 № 36-ПР</w:t>
      </w:r>
      <w:r w:rsidRPr="000D3FB4">
        <w:rPr>
          <w:sz w:val="28"/>
          <w:szCs w:val="28"/>
        </w:rPr>
        <w:t>, в целях корректировки долгосрочных тарифов на транспортировку холодной воды, транспортировку сточных вод и необходимой валовой выручки регулируемой организации на 2025</w:t>
      </w:r>
      <w:proofErr w:type="gramEnd"/>
      <w:r w:rsidRPr="000D3FB4">
        <w:rPr>
          <w:sz w:val="28"/>
          <w:szCs w:val="28"/>
        </w:rPr>
        <w:t xml:space="preserve"> год Государственный комитет Республики Татарстан </w:t>
      </w:r>
      <w:r w:rsidRPr="000D3FB4">
        <w:rPr>
          <w:sz w:val="28"/>
          <w:szCs w:val="28"/>
        </w:rPr>
        <w:br/>
        <w:t>по тарифам ПОСТАНОВЛЯЕТ:</w:t>
      </w:r>
    </w:p>
    <w:p w:rsidR="000D3FB4" w:rsidRPr="000D3FB4" w:rsidRDefault="000D3FB4" w:rsidP="000D3FB4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0D3FB4">
        <w:rPr>
          <w:sz w:val="28"/>
          <w:szCs w:val="28"/>
        </w:rPr>
        <w:t xml:space="preserve">Скорректировать тарифы </w:t>
      </w:r>
      <w:r w:rsidRPr="000D3FB4">
        <w:rPr>
          <w:rFonts w:eastAsia="Calibri"/>
          <w:sz w:val="28"/>
          <w:szCs w:val="28"/>
        </w:rPr>
        <w:t xml:space="preserve">на транспортировку холодной воды </w:t>
      </w:r>
      <w:r w:rsidRPr="000D3FB4">
        <w:rPr>
          <w:rFonts w:eastAsia="Calibri"/>
          <w:sz w:val="28"/>
          <w:szCs w:val="28"/>
        </w:rPr>
        <w:br/>
        <w:t xml:space="preserve">и транспортировку сточных вод для Общества с ограниченной ответственностью </w:t>
      </w:r>
      <w:r w:rsidRPr="000D3FB4">
        <w:rPr>
          <w:rFonts w:eastAsia="Calibri"/>
          <w:sz w:val="28"/>
          <w:szCs w:val="28"/>
        </w:rPr>
        <w:lastRenderedPageBreak/>
        <w:t>«</w:t>
      </w:r>
      <w:proofErr w:type="spellStart"/>
      <w:r w:rsidRPr="000D3FB4">
        <w:rPr>
          <w:rFonts w:eastAsia="Calibri"/>
          <w:sz w:val="28"/>
          <w:szCs w:val="28"/>
        </w:rPr>
        <w:t>ТеплоГрупп</w:t>
      </w:r>
      <w:proofErr w:type="spellEnd"/>
      <w:r w:rsidRPr="000D3FB4">
        <w:rPr>
          <w:rFonts w:eastAsia="Calibri"/>
          <w:sz w:val="28"/>
          <w:szCs w:val="28"/>
        </w:rPr>
        <w:t xml:space="preserve">» на 2025 год, </w:t>
      </w:r>
      <w:r w:rsidRPr="000D3FB4">
        <w:rPr>
          <w:sz w:val="28"/>
          <w:szCs w:val="28"/>
        </w:rPr>
        <w:t xml:space="preserve">установленные постановлением Государственного комитета Республики Татарстан по тарифам от 13.12.2023 № </w:t>
      </w:r>
      <w:r w:rsidRPr="000D3FB4">
        <w:rPr>
          <w:rFonts w:eastAsia="Calibri"/>
          <w:bCs/>
          <w:sz w:val="28"/>
          <w:szCs w:val="28"/>
        </w:rPr>
        <w:t>557-53/кс-2023</w:t>
      </w:r>
      <w:r w:rsidRPr="000D3FB4">
        <w:rPr>
          <w:sz w:val="28"/>
          <w:szCs w:val="28"/>
        </w:rPr>
        <w:t xml:space="preserve"> </w:t>
      </w:r>
      <w:r w:rsidRPr="000D3FB4">
        <w:rPr>
          <w:sz w:val="28"/>
          <w:szCs w:val="28"/>
        </w:rPr>
        <w:br/>
        <w:t>«</w:t>
      </w:r>
      <w:r w:rsidRPr="000D3FB4">
        <w:rPr>
          <w:rFonts w:eastAsia="Calibri"/>
          <w:sz w:val="28"/>
          <w:szCs w:val="28"/>
        </w:rPr>
        <w:t>Об установлении тарифов на транспортировку холодной воды и транспортировку сточных вод для Общества с ограниченной ответственностью «</w:t>
      </w:r>
      <w:proofErr w:type="spellStart"/>
      <w:r w:rsidRPr="000D3FB4">
        <w:rPr>
          <w:rFonts w:eastAsia="Calibri"/>
          <w:sz w:val="28"/>
          <w:szCs w:val="28"/>
        </w:rPr>
        <w:t>ТеплоГрупп</w:t>
      </w:r>
      <w:proofErr w:type="spellEnd"/>
      <w:r w:rsidRPr="000D3FB4">
        <w:rPr>
          <w:rFonts w:eastAsia="Calibri"/>
          <w:sz w:val="28"/>
          <w:szCs w:val="28"/>
        </w:rPr>
        <w:t>»</w:t>
      </w:r>
      <w:r w:rsidRPr="000D3FB4">
        <w:rPr>
          <w:rFonts w:eastAsia="Calibri"/>
          <w:sz w:val="28"/>
          <w:szCs w:val="28"/>
        </w:rPr>
        <w:br/>
        <w:t>на 2024 – 2026 годы</w:t>
      </w:r>
      <w:r w:rsidRPr="000D3FB4">
        <w:rPr>
          <w:sz w:val="28"/>
          <w:szCs w:val="28"/>
        </w:rPr>
        <w:t>», изложив приложение 1 в новой редакции (прилагается).</w:t>
      </w:r>
      <w:proofErr w:type="gramEnd"/>
    </w:p>
    <w:p w:rsidR="000D3FB4" w:rsidRPr="000D3FB4" w:rsidRDefault="000D3FB4" w:rsidP="000D3FB4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0D3FB4">
        <w:rPr>
          <w:sz w:val="28"/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0D3FB4" w:rsidRPr="000D3FB4" w:rsidRDefault="000D3FB4" w:rsidP="000D3FB4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0D3FB4">
        <w:rPr>
          <w:sz w:val="28"/>
          <w:szCs w:val="28"/>
        </w:rPr>
        <w:t xml:space="preserve">Внести в постановление Государственного комитета Республики Татарстан по тарифам от 13.12.2023 № </w:t>
      </w:r>
      <w:r w:rsidRPr="000D3FB4">
        <w:rPr>
          <w:bCs/>
          <w:sz w:val="28"/>
          <w:szCs w:val="28"/>
        </w:rPr>
        <w:t>557-53/кс-2023</w:t>
      </w:r>
      <w:r w:rsidRPr="000D3FB4">
        <w:rPr>
          <w:sz w:val="28"/>
          <w:szCs w:val="28"/>
        </w:rPr>
        <w:t xml:space="preserve"> «Об установлении тарифов </w:t>
      </w:r>
      <w:r w:rsidRPr="000D3FB4">
        <w:rPr>
          <w:sz w:val="28"/>
          <w:szCs w:val="28"/>
        </w:rPr>
        <w:br/>
        <w:t xml:space="preserve">на транспортировку холодной воды и транспортировку сточных вод для Общества </w:t>
      </w:r>
      <w:r w:rsidRPr="000D3FB4">
        <w:rPr>
          <w:sz w:val="28"/>
          <w:szCs w:val="28"/>
        </w:rPr>
        <w:br/>
        <w:t>с ограниченной ответственностью «</w:t>
      </w:r>
      <w:proofErr w:type="spellStart"/>
      <w:r w:rsidRPr="000D3FB4">
        <w:rPr>
          <w:sz w:val="28"/>
          <w:szCs w:val="28"/>
        </w:rPr>
        <w:t>ТеплоГрупп</w:t>
      </w:r>
      <w:proofErr w:type="spellEnd"/>
      <w:r w:rsidRPr="000D3FB4">
        <w:rPr>
          <w:sz w:val="28"/>
          <w:szCs w:val="28"/>
        </w:rPr>
        <w:t>» на 2024 – 2026 годы» следующие изменения:</w:t>
      </w:r>
    </w:p>
    <w:p w:rsidR="000D3FB4" w:rsidRPr="000D3FB4" w:rsidRDefault="000D3FB4" w:rsidP="000D3FB4">
      <w:pPr>
        <w:ind w:left="709"/>
        <w:jc w:val="both"/>
        <w:rPr>
          <w:sz w:val="28"/>
          <w:szCs w:val="28"/>
        </w:rPr>
      </w:pPr>
      <w:r w:rsidRPr="000D3FB4">
        <w:rPr>
          <w:sz w:val="28"/>
          <w:szCs w:val="28"/>
        </w:rPr>
        <w:t xml:space="preserve">наименование изложить в следующей редакции: </w:t>
      </w:r>
    </w:p>
    <w:p w:rsidR="000D3FB4" w:rsidRPr="000D3FB4" w:rsidRDefault="000D3FB4" w:rsidP="000D3FB4">
      <w:pPr>
        <w:ind w:firstLine="709"/>
        <w:jc w:val="both"/>
        <w:rPr>
          <w:sz w:val="28"/>
          <w:szCs w:val="28"/>
        </w:rPr>
      </w:pPr>
      <w:r w:rsidRPr="000D3FB4">
        <w:rPr>
          <w:sz w:val="28"/>
          <w:szCs w:val="28"/>
        </w:rPr>
        <w:t xml:space="preserve">«Об установлении тарифов на транспортировку холодной воды </w:t>
      </w:r>
      <w:r w:rsidRPr="000D3FB4">
        <w:rPr>
          <w:sz w:val="28"/>
          <w:szCs w:val="28"/>
        </w:rPr>
        <w:br/>
        <w:t>и транспортировку сточных вод для Общества с ограниченной ответственностью «</w:t>
      </w:r>
      <w:proofErr w:type="spellStart"/>
      <w:r w:rsidRPr="000D3FB4">
        <w:rPr>
          <w:sz w:val="28"/>
          <w:szCs w:val="28"/>
        </w:rPr>
        <w:t>ТеплоГрупп</w:t>
      </w:r>
      <w:proofErr w:type="spellEnd"/>
      <w:r w:rsidRPr="000D3FB4">
        <w:rPr>
          <w:sz w:val="28"/>
          <w:szCs w:val="28"/>
        </w:rPr>
        <w:t>» на 2024 – 2026 годы</w:t>
      </w:r>
      <w:r w:rsidRPr="000D3FB4">
        <w:rPr>
          <w:rFonts w:eastAsia="Calibri"/>
          <w:sz w:val="28"/>
          <w:szCs w:val="28"/>
        </w:rPr>
        <w:t xml:space="preserve"> и утверждении производственных программ</w:t>
      </w:r>
      <w:r w:rsidRPr="000D3FB4">
        <w:rPr>
          <w:sz w:val="28"/>
          <w:szCs w:val="28"/>
        </w:rPr>
        <w:t>»;</w:t>
      </w:r>
    </w:p>
    <w:p w:rsidR="000D3FB4" w:rsidRPr="000D3FB4" w:rsidRDefault="000D3FB4" w:rsidP="000D3FB4">
      <w:pPr>
        <w:ind w:firstLine="709"/>
        <w:jc w:val="both"/>
        <w:rPr>
          <w:sz w:val="28"/>
          <w:szCs w:val="28"/>
        </w:rPr>
      </w:pPr>
      <w:proofErr w:type="gramStart"/>
      <w:r w:rsidRPr="000D3FB4">
        <w:rPr>
          <w:sz w:val="28"/>
          <w:szCs w:val="28"/>
        </w:rPr>
        <w:t xml:space="preserve">в преамбуле слова «постановлением Правительства Российской Федерации </w:t>
      </w:r>
      <w:r w:rsidRPr="000D3FB4">
        <w:rPr>
          <w:sz w:val="28"/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0D3FB4">
        <w:rPr>
          <w:sz w:val="28"/>
          <w:szCs w:val="28"/>
        </w:rPr>
        <w:br/>
        <w:t>от 29 июля 2013 г. 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 w:rsidRPr="000D3FB4">
        <w:rPr>
          <w:sz w:val="28"/>
          <w:szCs w:val="28"/>
        </w:rPr>
        <w:t xml:space="preserve"> </w:t>
      </w:r>
      <w:r w:rsidRPr="000D3FB4">
        <w:rPr>
          <w:sz w:val="28"/>
          <w:szCs w:val="28"/>
        </w:rPr>
        <w:br/>
        <w:t>и водоотведения»;</w:t>
      </w:r>
    </w:p>
    <w:p w:rsidR="000D3FB4" w:rsidRPr="000D3FB4" w:rsidRDefault="000D3FB4" w:rsidP="000D3FB4">
      <w:pPr>
        <w:ind w:firstLine="709"/>
        <w:jc w:val="both"/>
        <w:rPr>
          <w:sz w:val="28"/>
          <w:szCs w:val="28"/>
        </w:rPr>
      </w:pPr>
      <w:r w:rsidRPr="000D3FB4">
        <w:rPr>
          <w:sz w:val="28"/>
          <w:szCs w:val="28"/>
        </w:rPr>
        <w:t>дополнить пунктами 3.1-3.2 следующего содержания:</w:t>
      </w:r>
    </w:p>
    <w:p w:rsidR="000D3FB4" w:rsidRPr="000D3FB4" w:rsidRDefault="000D3FB4" w:rsidP="000D3FB4">
      <w:pPr>
        <w:ind w:firstLine="709"/>
        <w:jc w:val="both"/>
        <w:rPr>
          <w:sz w:val="28"/>
          <w:szCs w:val="28"/>
        </w:rPr>
      </w:pPr>
      <w:r w:rsidRPr="000D3FB4">
        <w:rPr>
          <w:sz w:val="28"/>
          <w:szCs w:val="28"/>
        </w:rPr>
        <w:t>«3.1. Утвердить производственные программ</w:t>
      </w:r>
      <w:proofErr w:type="gramStart"/>
      <w:r w:rsidRPr="000D3FB4">
        <w:rPr>
          <w:sz w:val="28"/>
          <w:szCs w:val="28"/>
        </w:rPr>
        <w:t xml:space="preserve">ы </w:t>
      </w:r>
      <w:r w:rsidRPr="000D3FB4">
        <w:rPr>
          <w:bCs/>
          <w:sz w:val="28"/>
          <w:szCs w:val="28"/>
        </w:rPr>
        <w:t>ООО</w:t>
      </w:r>
      <w:proofErr w:type="gramEnd"/>
      <w:r w:rsidRPr="000D3FB4">
        <w:rPr>
          <w:bCs/>
          <w:sz w:val="28"/>
          <w:szCs w:val="28"/>
        </w:rPr>
        <w:t xml:space="preserve"> «</w:t>
      </w:r>
      <w:proofErr w:type="spellStart"/>
      <w:r w:rsidRPr="000D3FB4">
        <w:rPr>
          <w:bCs/>
          <w:sz w:val="28"/>
          <w:szCs w:val="28"/>
        </w:rPr>
        <w:t>ТеплоГрупп</w:t>
      </w:r>
      <w:proofErr w:type="spellEnd"/>
      <w:r w:rsidRPr="000D3FB4">
        <w:rPr>
          <w:bCs/>
          <w:sz w:val="28"/>
          <w:szCs w:val="28"/>
        </w:rPr>
        <w:t>»</w:t>
      </w:r>
      <w:r w:rsidRPr="000D3FB4">
        <w:rPr>
          <w:sz w:val="28"/>
          <w:szCs w:val="28"/>
        </w:rPr>
        <w:t xml:space="preserve"> в сфере водоснабжения и водоотведения согласно приложению 3 к настоящему постановлению.</w:t>
      </w:r>
    </w:p>
    <w:p w:rsidR="000D3FB4" w:rsidRPr="000D3FB4" w:rsidRDefault="000D3FB4" w:rsidP="000D3FB4">
      <w:pPr>
        <w:ind w:firstLine="709"/>
        <w:jc w:val="both"/>
        <w:rPr>
          <w:sz w:val="28"/>
          <w:szCs w:val="28"/>
        </w:rPr>
      </w:pPr>
      <w:r w:rsidRPr="000D3FB4">
        <w:rPr>
          <w:sz w:val="28"/>
          <w:szCs w:val="28"/>
        </w:rPr>
        <w:t>3.2. Производственные программы, утвержденные пунктом 3.1 настоящего постановления, действуют с 1 января 2025 года по 31 декабря 2026 года</w:t>
      </w:r>
      <w:proofErr w:type="gramStart"/>
      <w:r w:rsidRPr="000D3FB4">
        <w:rPr>
          <w:sz w:val="28"/>
          <w:szCs w:val="28"/>
        </w:rPr>
        <w:t>.»;</w:t>
      </w:r>
      <w:proofErr w:type="gramEnd"/>
    </w:p>
    <w:p w:rsidR="000D3FB4" w:rsidRPr="000D3FB4" w:rsidRDefault="000D3FB4" w:rsidP="000D3FB4">
      <w:pPr>
        <w:ind w:firstLine="709"/>
        <w:contextualSpacing/>
        <w:jc w:val="both"/>
        <w:rPr>
          <w:sz w:val="28"/>
          <w:szCs w:val="28"/>
        </w:rPr>
      </w:pPr>
      <w:r w:rsidRPr="000D3FB4">
        <w:rPr>
          <w:sz w:val="28"/>
          <w:szCs w:val="28"/>
        </w:rPr>
        <w:t>дополнить приложением 3 (прилагается).</w:t>
      </w:r>
    </w:p>
    <w:p w:rsidR="000D3FB4" w:rsidRPr="000D3FB4" w:rsidRDefault="000D3FB4" w:rsidP="000D3FB4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0D3FB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0D3FB4">
        <w:rPr>
          <w:sz w:val="28"/>
          <w:szCs w:val="28"/>
        </w:rPr>
        <w:t>истечении</w:t>
      </w:r>
      <w:proofErr w:type="gramEnd"/>
      <w:r w:rsidRPr="000D3FB4">
        <w:rPr>
          <w:sz w:val="28"/>
          <w:szCs w:val="28"/>
        </w:rPr>
        <w:t xml:space="preserve"> 10 дней после дня его официального опубликования.</w:t>
      </w:r>
    </w:p>
    <w:p w:rsidR="000D3FB4" w:rsidRPr="000D3FB4" w:rsidRDefault="000D3FB4" w:rsidP="000D3FB4">
      <w:pPr>
        <w:jc w:val="both"/>
        <w:rPr>
          <w:sz w:val="28"/>
          <w:szCs w:val="28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10"/>
          <w:headerReference w:type="default" r:id="rId11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lastRenderedPageBreak/>
        <w:t>Приложение 1 к постановлению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 xml:space="preserve">Государственного комитета 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Республики Татарстан по тарифам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 xml:space="preserve">от </w:t>
      </w:r>
      <w:r w:rsidRPr="00800129">
        <w:rPr>
          <w:u w:val="single"/>
        </w:rPr>
        <w:t>13.12.2023</w:t>
      </w:r>
      <w:r w:rsidRPr="00800129">
        <w:t xml:space="preserve"> № </w:t>
      </w:r>
      <w:r w:rsidRPr="00800129">
        <w:rPr>
          <w:bCs/>
          <w:u w:val="single"/>
        </w:rPr>
        <w:t>557-53/кс-2023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proofErr w:type="gramStart"/>
      <w:r w:rsidRPr="00800129">
        <w:t xml:space="preserve">(в редакции постановления </w:t>
      </w:r>
      <w:r w:rsidRPr="00800129">
        <w:br/>
        <w:t>Государственного комитета</w:t>
      </w:r>
      <w:proofErr w:type="gramEnd"/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Республики Татарстан по тарифам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от ____</w:t>
      </w:r>
      <w:r>
        <w:t>_</w:t>
      </w:r>
      <w:r w:rsidRPr="00800129">
        <w:t>_</w:t>
      </w:r>
      <w:r w:rsidR="003E428F">
        <w:t>_</w:t>
      </w:r>
      <w:r w:rsidRPr="00800129">
        <w:t xml:space="preserve">____ № __________________) </w:t>
      </w:r>
    </w:p>
    <w:p w:rsidR="00800129" w:rsidRPr="00800129" w:rsidRDefault="00800129" w:rsidP="00800129">
      <w:pPr>
        <w:jc w:val="center"/>
        <w:rPr>
          <w:bCs/>
          <w:sz w:val="28"/>
          <w:szCs w:val="28"/>
        </w:rPr>
      </w:pPr>
    </w:p>
    <w:p w:rsidR="00800129" w:rsidRPr="00800129" w:rsidRDefault="00800129" w:rsidP="00800129">
      <w:pPr>
        <w:jc w:val="center"/>
        <w:rPr>
          <w:bCs/>
          <w:sz w:val="28"/>
          <w:szCs w:val="28"/>
        </w:rPr>
      </w:pPr>
    </w:p>
    <w:p w:rsidR="00800129" w:rsidRPr="00800129" w:rsidRDefault="00800129" w:rsidP="00800129">
      <w:pPr>
        <w:ind w:right="282"/>
        <w:jc w:val="center"/>
        <w:rPr>
          <w:bCs/>
          <w:color w:val="000000"/>
          <w:sz w:val="28"/>
          <w:szCs w:val="28"/>
        </w:rPr>
      </w:pPr>
      <w:r w:rsidRPr="00800129">
        <w:rPr>
          <w:bCs/>
          <w:color w:val="000000"/>
          <w:sz w:val="28"/>
          <w:szCs w:val="28"/>
        </w:rPr>
        <w:t>Тарифы на транспортировку холодной воды и транспортировку сточных вод для ООО «</w:t>
      </w:r>
      <w:proofErr w:type="spellStart"/>
      <w:r w:rsidRPr="00800129">
        <w:rPr>
          <w:bCs/>
          <w:color w:val="000000"/>
          <w:sz w:val="28"/>
          <w:szCs w:val="28"/>
        </w:rPr>
        <w:t>ТеплоГрупп</w:t>
      </w:r>
      <w:proofErr w:type="spellEnd"/>
      <w:r w:rsidRPr="00800129">
        <w:rPr>
          <w:bCs/>
          <w:color w:val="000000"/>
          <w:sz w:val="28"/>
          <w:szCs w:val="28"/>
        </w:rPr>
        <w:t xml:space="preserve">», </w:t>
      </w:r>
    </w:p>
    <w:p w:rsidR="00800129" w:rsidRPr="00800129" w:rsidRDefault="00800129" w:rsidP="00800129">
      <w:pPr>
        <w:ind w:right="282"/>
        <w:jc w:val="center"/>
        <w:rPr>
          <w:bCs/>
          <w:color w:val="000000"/>
          <w:sz w:val="28"/>
          <w:szCs w:val="28"/>
        </w:rPr>
      </w:pPr>
      <w:proofErr w:type="gramStart"/>
      <w:r w:rsidRPr="00800129">
        <w:rPr>
          <w:bCs/>
          <w:color w:val="000000"/>
          <w:sz w:val="28"/>
          <w:szCs w:val="28"/>
        </w:rPr>
        <w:t>осуществляющего</w:t>
      </w:r>
      <w:proofErr w:type="gramEnd"/>
      <w:r w:rsidRPr="00800129">
        <w:rPr>
          <w:bCs/>
          <w:color w:val="000000"/>
          <w:sz w:val="28"/>
          <w:szCs w:val="28"/>
        </w:rPr>
        <w:t xml:space="preserve"> холодное водоснабжение и водоотведение, на 2024 – 2026 годы с календарной разбивкой</w:t>
      </w:r>
    </w:p>
    <w:p w:rsidR="00800129" w:rsidRPr="00800129" w:rsidRDefault="00800129" w:rsidP="00800129">
      <w:pPr>
        <w:ind w:right="140"/>
        <w:jc w:val="center"/>
        <w:rPr>
          <w:sz w:val="28"/>
          <w:szCs w:val="28"/>
        </w:rPr>
      </w:pPr>
    </w:p>
    <w:p w:rsidR="00800129" w:rsidRPr="00800129" w:rsidRDefault="00800129" w:rsidP="00800129">
      <w:pPr>
        <w:ind w:right="14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9176"/>
        <w:gridCol w:w="1560"/>
        <w:gridCol w:w="1984"/>
        <w:gridCol w:w="2064"/>
      </w:tblGrid>
      <w:tr w:rsidR="00800129" w:rsidRPr="00800129" w:rsidTr="001676FD">
        <w:trPr>
          <w:trHeight w:val="173"/>
        </w:trPr>
        <w:tc>
          <w:tcPr>
            <w:tcW w:w="18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 xml:space="preserve">№ </w:t>
            </w:r>
            <w:proofErr w:type="gramStart"/>
            <w:r w:rsidRPr="00800129">
              <w:rPr>
                <w:sz w:val="20"/>
                <w:szCs w:val="22"/>
              </w:rPr>
              <w:t>п</w:t>
            </w:r>
            <w:proofErr w:type="gramEnd"/>
            <w:r w:rsidRPr="00800129">
              <w:rPr>
                <w:sz w:val="20"/>
                <w:szCs w:val="22"/>
              </w:rPr>
              <w:t>/п</w:t>
            </w:r>
          </w:p>
        </w:tc>
        <w:tc>
          <w:tcPr>
            <w:tcW w:w="29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Год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ind w:right="62"/>
              <w:jc w:val="center"/>
              <w:rPr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Тариф на транспортировку холодной воды</w:t>
            </w:r>
          </w:p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(</w:t>
            </w:r>
            <w:proofErr w:type="spellStart"/>
            <w:r w:rsidRPr="00800129">
              <w:rPr>
                <w:sz w:val="20"/>
                <w:szCs w:val="22"/>
              </w:rPr>
              <w:t>одноставочный</w:t>
            </w:r>
            <w:proofErr w:type="spellEnd"/>
            <w:r w:rsidRPr="00800129">
              <w:rPr>
                <w:sz w:val="20"/>
                <w:szCs w:val="22"/>
              </w:rPr>
              <w:t>), рублей/</w:t>
            </w:r>
            <w:proofErr w:type="spellStart"/>
            <w:r w:rsidRPr="00800129">
              <w:rPr>
                <w:sz w:val="20"/>
                <w:szCs w:val="22"/>
              </w:rPr>
              <w:t>куб</w:t>
            </w:r>
            <w:proofErr w:type="gramStart"/>
            <w:r w:rsidRPr="00800129">
              <w:rPr>
                <w:sz w:val="20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ind w:right="62"/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Тариф на транспортировку сточных вод</w:t>
            </w:r>
          </w:p>
          <w:p w:rsidR="00800129" w:rsidRPr="00800129" w:rsidRDefault="00800129" w:rsidP="00800129">
            <w:pPr>
              <w:ind w:right="62"/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(</w:t>
            </w:r>
            <w:proofErr w:type="spellStart"/>
            <w:r w:rsidRPr="00800129">
              <w:rPr>
                <w:bCs/>
                <w:sz w:val="20"/>
                <w:szCs w:val="22"/>
              </w:rPr>
              <w:t>одноставочный</w:t>
            </w:r>
            <w:proofErr w:type="spellEnd"/>
            <w:r w:rsidRPr="00800129">
              <w:rPr>
                <w:bCs/>
                <w:sz w:val="20"/>
                <w:szCs w:val="22"/>
              </w:rPr>
              <w:t>), рублей/</w:t>
            </w:r>
            <w:proofErr w:type="spellStart"/>
            <w:r w:rsidRPr="00800129">
              <w:rPr>
                <w:bCs/>
                <w:sz w:val="20"/>
                <w:szCs w:val="22"/>
              </w:rPr>
              <w:t>куб</w:t>
            </w:r>
            <w:proofErr w:type="gramStart"/>
            <w:r w:rsidRPr="00800129">
              <w:rPr>
                <w:bCs/>
                <w:sz w:val="20"/>
                <w:szCs w:val="22"/>
              </w:rPr>
              <w:t>.м</w:t>
            </w:r>
            <w:proofErr w:type="spellEnd"/>
            <w:proofErr w:type="gramEnd"/>
          </w:p>
        </w:tc>
      </w:tr>
      <w:tr w:rsidR="00800129" w:rsidRPr="00800129" w:rsidTr="001676FD">
        <w:trPr>
          <w:trHeight w:val="173"/>
        </w:trPr>
        <w:tc>
          <w:tcPr>
            <w:tcW w:w="186" w:type="pct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shd w:val="clear" w:color="auto" w:fill="auto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Потребители в зоне централизованных систем водоснабжения и водоотведения города Казани</w:t>
            </w:r>
          </w:p>
        </w:tc>
        <w:tc>
          <w:tcPr>
            <w:tcW w:w="508" w:type="pct"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800129" w:rsidRPr="00800129" w:rsidTr="001676FD">
        <w:trPr>
          <w:trHeight w:val="283"/>
        </w:trPr>
        <w:tc>
          <w:tcPr>
            <w:tcW w:w="186" w:type="pct"/>
            <w:vMerge w:val="restar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2988" w:type="pct"/>
            <w:vMerge w:val="restart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color w:val="000000"/>
                <w:sz w:val="20"/>
                <w:szCs w:val="22"/>
              </w:rPr>
            </w:pPr>
            <w:r w:rsidRPr="00800129">
              <w:rPr>
                <w:bCs/>
                <w:color w:val="000000"/>
                <w:sz w:val="20"/>
                <w:szCs w:val="22"/>
              </w:rPr>
              <w:t>ООО «</w:t>
            </w:r>
            <w:proofErr w:type="spellStart"/>
            <w:r w:rsidRPr="00800129">
              <w:rPr>
                <w:bCs/>
                <w:color w:val="000000"/>
                <w:sz w:val="20"/>
                <w:szCs w:val="22"/>
              </w:rPr>
              <w:t>ТеплоГрупп</w:t>
            </w:r>
            <w:proofErr w:type="spellEnd"/>
            <w:r w:rsidRPr="00800129">
              <w:rPr>
                <w:bCs/>
                <w:color w:val="000000"/>
                <w:sz w:val="20"/>
                <w:szCs w:val="22"/>
              </w:rPr>
              <w:t>» (тарифы указаны без учета НДС)</w:t>
            </w:r>
          </w:p>
          <w:p w:rsidR="00800129" w:rsidRPr="00800129" w:rsidRDefault="00800129" w:rsidP="00800129">
            <w:pPr>
              <w:rPr>
                <w:bCs/>
                <w:color w:val="000000"/>
                <w:sz w:val="20"/>
                <w:szCs w:val="22"/>
              </w:rPr>
            </w:pP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b/>
                <w:color w:val="000000"/>
                <w:sz w:val="20"/>
                <w:szCs w:val="22"/>
              </w:rPr>
              <w:t>Водопроводные сети:</w:t>
            </w:r>
            <w:r w:rsidRPr="00800129">
              <w:rPr>
                <w:color w:val="000000"/>
                <w:sz w:val="20"/>
                <w:szCs w:val="22"/>
              </w:rPr>
              <w:t xml:space="preserve">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Чистопольская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79А, 83, 71А, 73, 75, 77/2, 79, 81, 85, 85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 xml:space="preserve"> А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/А, 85 А/В, 85 А/Г, 85Б, 71Б;</w:t>
            </w:r>
            <w:r w:rsidRPr="00800129">
              <w:rPr>
                <w:color w:val="000000"/>
                <w:sz w:val="20"/>
                <w:szCs w:val="22"/>
              </w:rPr>
              <w:br/>
              <w:t>пр. Ямашева 93, 105А, 95, 97, 103, 103А, 103Б, 105Ак1, 115А, 101;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Адоратского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>: 4, 4А,4</w:t>
            </w:r>
            <w:r w:rsidR="0095101E">
              <w:rPr>
                <w:color w:val="000000"/>
                <w:sz w:val="20"/>
                <w:szCs w:val="22"/>
              </w:rPr>
              <w:t>Б, 1А, 2, 3, 3Г, 1Б, 2Б, 4бк2;</w:t>
            </w:r>
            <w:bookmarkStart w:id="0" w:name="_GoBack"/>
            <w:bookmarkEnd w:id="0"/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Четаева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4, 8;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С.Хакима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70;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proofErr w:type="gramStart"/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Н.Рахлина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3, 5, 7к2, 7, 7Б, 11, 13, 13к1, 13к2, 15к1, 15к2, 15к3, 17, 19к2;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А.Курынова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4, 4к2, 4к3, 4к4,</w:t>
            </w:r>
            <w:r w:rsidRPr="00800129">
              <w:rPr>
                <w:sz w:val="28"/>
                <w:szCs w:val="20"/>
              </w:rPr>
              <w:t xml:space="preserve"> </w:t>
            </w:r>
            <w:r w:rsidRPr="00800129">
              <w:rPr>
                <w:color w:val="000000"/>
                <w:sz w:val="20"/>
                <w:szCs w:val="22"/>
              </w:rPr>
              <w:t xml:space="preserve">5к1, 5к2, 5к3, 5к4, 8, 6к1, 6к2, 10к1, 10к2, 10к3, 11к1, 11к2, 11а, 11б;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Р.Нежметдинова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2,1а, 1а стр., 2а, 11, 11к2, 11к3, 11к4, 11к5;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 xml:space="preserve">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Мамадышский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тракт 32;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А.Абассова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3**, 5**, 6, 6 к3(бывший 6А)**, 6 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2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 xml:space="preserve">**, 7**, 8**, 9**, 10**, 11**, 12**, 13**;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Ф.Табиева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1-6**; </w:t>
            </w:r>
            <w:r w:rsidRPr="00800129">
              <w:rPr>
                <w:color w:val="000000"/>
                <w:sz w:val="20"/>
                <w:szCs w:val="22"/>
              </w:rPr>
              <w:br/>
              <w:t>ул. Удивительная 9**;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Камалеева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30, 32, 32Б, 34, 34А, 34Б, 34В;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Тулпар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4;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lastRenderedPageBreak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Павлюхина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>, 91;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Серова 43к1, 43к2, 43к3, </w:t>
            </w:r>
            <w:r w:rsidRPr="00800129">
              <w:rPr>
                <w:color w:val="000000"/>
                <w:sz w:val="20"/>
                <w:szCs w:val="20"/>
              </w:rPr>
              <w:t>41а, 41а к</w:t>
            </w:r>
            <w:proofErr w:type="gramStart"/>
            <w:r w:rsidRPr="00800129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800129">
              <w:rPr>
                <w:color w:val="000000"/>
                <w:sz w:val="20"/>
                <w:szCs w:val="20"/>
              </w:rPr>
              <w:t>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2-ая Юго-Западная 3, 5, 9, 9А, 11;</w:t>
            </w:r>
            <w:r w:rsidRPr="00800129">
              <w:rPr>
                <w:color w:val="000000"/>
                <w:sz w:val="20"/>
                <w:szCs w:val="22"/>
              </w:rPr>
              <w:br/>
              <w:t>ул. Дружинная 4, 6, 7, 8;</w:t>
            </w:r>
            <w:r w:rsidRPr="00800129">
              <w:rPr>
                <w:color w:val="000000"/>
                <w:sz w:val="20"/>
                <w:szCs w:val="22"/>
              </w:rPr>
              <w:br/>
              <w:t>ул. Горсоветская 34;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Г.Шершеневича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1,2,3,4,5,6,7,8,9,10,11,12,13,14,15,16,17,18,19,20,21,22,23,24,25,26,27,28,29, 30,31,32,33,34,35,36,37,38,39,40,41,42,43,44;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Д.Мурзина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1,2,3,4,5,6,7,8,9,10,11,12,13,14,15,16,17,18,19,20,21,22,23,24,25,26,27,28,29,30,31, 32,33,34;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М.Дмитриева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1,2,3,4,5,6,7,8,9,10,11,12,13,14,15,16,17;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М.Усманова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1,2,3,4,5,6,7,8,9,10,11,12,13,14,15,16,17,18,19,20,21,22,23,24,25,26,27,28,29,30, 31,32,33,34,35,36;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М.Зевахина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1,2,3,4,5,6,7,8,9,10,11,12,13,14,15,16,17,18,19,20,21,22,23,24,25,26,27;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Дубравная 14А, 28А, 28Б;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Терегулова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4, 6, 6А, 8, 8Б, 10, 10А, 12, 14, 20А, 22, 18;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Ч.Айтматова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9, 11, 13, 13к2, 15;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br w:type="page"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Ноксинский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спуск 10, 30;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Приволжская 210 (А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,Б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,В,Г,Д,Е,Ж);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Новаторов 8А, 8Б;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Короленко 28Б;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Комсомольская, 2;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Декабристов: 81В, 81Вк1, 81Вк2;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Агрономическая, 7;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Мамадышский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тракт, 30;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пр. Ибрагимова, 48;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пр. Победы 93,93к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1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Камая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8,8а;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Аметьевская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магистраль 4, 4а, 6, 6а, 8, 10;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С.Хакима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31,33, 35, 37, 39;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Ярдем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3;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Сибирский тракт 34ст1,34а,34г,34в,34д,34л,34к1,34к2,34 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4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,34к5, 34к5/11,34к01, 34литК, 34к02,34к10,34к10а,</w:t>
            </w:r>
            <w:r w:rsidRPr="00800129">
              <w:rPr>
                <w:color w:val="000000"/>
                <w:sz w:val="20"/>
                <w:szCs w:val="22"/>
              </w:rPr>
              <w:br/>
              <w:t>ул. Академика Арбузова 5;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К. Цеткин 8/27,8/27к1, 8/27к2;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Нариманова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40,40к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2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,40б;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Васильченко 1,1а,1к2,1к153,1к153а,1к153б;</w:t>
            </w:r>
          </w:p>
          <w:p w:rsidR="00800129" w:rsidRPr="00800129" w:rsidRDefault="00800129" w:rsidP="00800129">
            <w:pPr>
              <w:rPr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ул. А. Козина, 1, 4, 9, 4 стр., 6 стр.</w:t>
            </w:r>
          </w:p>
          <w:p w:rsidR="00800129" w:rsidRPr="00800129" w:rsidRDefault="00800129" w:rsidP="00800129">
            <w:pPr>
              <w:rPr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ул. Минская, 49, 49к2, 49к3.</w:t>
            </w:r>
          </w:p>
          <w:p w:rsidR="00800129" w:rsidRPr="00800129" w:rsidRDefault="00800129" w:rsidP="00800129">
            <w:pPr>
              <w:rPr>
                <w:sz w:val="20"/>
                <w:szCs w:val="22"/>
              </w:rPr>
            </w:pPr>
          </w:p>
          <w:p w:rsidR="00800129" w:rsidRPr="00800129" w:rsidRDefault="00800129" w:rsidP="00800129">
            <w:pPr>
              <w:rPr>
                <w:b/>
                <w:color w:val="000000"/>
                <w:sz w:val="20"/>
                <w:szCs w:val="22"/>
              </w:rPr>
            </w:pPr>
            <w:r w:rsidRPr="00800129">
              <w:rPr>
                <w:b/>
                <w:color w:val="000000"/>
                <w:sz w:val="20"/>
                <w:szCs w:val="22"/>
              </w:rPr>
              <w:t>Канализационные сети: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пр. Ямашева 93, 105А, 95, 97, 101, 103, 103А, 103Б, 115А;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Адоратского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 1А, 2, 3, 3А, 3б, 3в, 3г, 1Б, 2А, 2Б, 4, 4а, 4б, 4бк2;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lastRenderedPageBreak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Чистопольская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79А, 83, 71А, 71Б, 73, 75, 77/2, 79, 81, 85, 85А/А, 85А/В, 85А/Г, 86/10, 65, 65А, 67, 67А, 67Б, 69, 68, 70, 72, 74, 76, 82, 86А, 86; 88, 88А; 84/11; 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С.Хакима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70, 51; 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Четаева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4, 4а, 4б, 8; 14Ак2;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Нигматуллина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5, 9, 11/84;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Мамадышский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тракт 30, 32, 46, 52, 28; 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Н.Рахлина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 1а, 1в, 3, 5, 7к.2, 7, 7Б, 11, 13, 13к.1, 13к.2, 15к.1, 15к.2, 15к.3, 17; 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Р.Нежметдинова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2, 1а, 1а стр., 2а,11,11к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2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,11к3,11к4,11к5;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А.Курынова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>: 5к1, 5к2, 5к3, 5к4, 4, 4к2,4к3,4к4,8,6к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1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 xml:space="preserve">,6к2,10к1,10к2,10к3,11к1, 11к2,11а,11б; 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Зеленая 85, 85к.1, 87; 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А.Аббасова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3**,4 5**, 6 к.2, 6 к.3, 7**, 8**, 9**, 10**, 11**, 12**, 13**;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Ф.Табеева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1-6**; 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Удивительная 9**;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.К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 xml:space="preserve">амалеева:30,32,32А,32Б,34,34А,34Б,34В;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Тулпар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4;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Павлюхина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>, 91;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Серова 41а, 41а 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2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, 43к1, 43к2, 43к3;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2-ая Юго-Западная 3, 5, 9, 9А, 11; 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Дружинная 4, 6, 7, 8; 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Горсоветская, 34.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Г.Шершеневича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1,2,3,4,5,6,7,8,9,10,11,12,13,14,15,16,17,18,19,20,21,22,23,24,25,26,27,28,29, 30,31,32,33,34,35,36,37,38,39,40,41,42,43,44;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Д.Мурзина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1,2,3,4,5,6,7,8,9,10,11,12,13,14,15,16,17,18,19,20,21,22,23,24,25,26,27,28,29,30,31, 32,33,34;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М.Дмитриева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1,2,3,4,5,6,7,8,9,10,11,12,13,14,15,16,17;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М.Усманова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1,2,3,4,5,6,7,8,9,10,11,12,13,14,15,16,17,18,19,20,21,22,23,24,25,26,27,28,29,30, 31,32,33,34,35,36;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М.Зевахина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1,2,3,4,5,6,7,8,9,10,11,12,13,14,15,16,17,18,19,20,21,22,23,24,25,26,27;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Дубравная 14А, 28А, 28Б, 34А, 38А; 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Терегулова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6, 6А, 8Б, 10, 10А, 12,14, 20А, 22, 18;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Ч.Айтматова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9,11,13,13к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2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 xml:space="preserve">,15; </w:t>
            </w:r>
            <w:r w:rsidRPr="00800129">
              <w:rPr>
                <w:color w:val="000000"/>
                <w:sz w:val="20"/>
                <w:szCs w:val="22"/>
              </w:rPr>
              <w:br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Ноксинский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спуск 10, 30;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Шоссейная 57;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 Приволжская 210(А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,Б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,В,Г,Д,Е,Ж), 214;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Короленко 28Б;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Декабристов 81В, 81Вк1, 81Вк2;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Агрономическая 7;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Мамадышский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тракт, 30;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пр. Ибрагимова 48;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пр. Победы 93,93к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1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с.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Усады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>, ул. Счастливая 1-7,8,9,10,11,16*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proofErr w:type="spellStart"/>
            <w:r w:rsidRPr="00800129">
              <w:rPr>
                <w:color w:val="000000"/>
                <w:sz w:val="20"/>
                <w:szCs w:val="22"/>
              </w:rPr>
              <w:t>ул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.С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партаковская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165;</w:t>
            </w:r>
          </w:p>
          <w:p w:rsidR="00800129" w:rsidRPr="00800129" w:rsidRDefault="00800129" w:rsidP="00800129">
            <w:pPr>
              <w:rPr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lastRenderedPageBreak/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Камая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8,8а, </w:t>
            </w:r>
            <w:r w:rsidRPr="00800129">
              <w:rPr>
                <w:sz w:val="20"/>
                <w:szCs w:val="22"/>
              </w:rPr>
              <w:t>2Б, 10к1, 10к2;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sz w:val="20"/>
                <w:szCs w:val="22"/>
              </w:rPr>
              <w:t>Х.Мавлютова</w:t>
            </w:r>
            <w:proofErr w:type="spellEnd"/>
            <w:r w:rsidRPr="00800129">
              <w:rPr>
                <w:sz w:val="20"/>
                <w:szCs w:val="22"/>
              </w:rPr>
              <w:t>, 34;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Аметьевская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магистраль 2,4,4а,6,6а,8,10;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С.Хакима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31,33, 35, 37, 39;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Ярдем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3;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Сибирский тракт 34ст1,34а,34г,34в,34д,34л,34к1,34к2,34 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4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,34к5,34 к5/11,34к01,34литК,34к02,34к10,34к10а;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Академика Арбузова 5;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К. Цеткин 8/27,8/27к1, 8/27к2;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Нариманова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40,40к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2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,40б;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Васильченко 1,1а,1к2,1к153,1к153а,1к153б;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Журналистов 2а;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А. Козина, 1, 9, 4 стр., 6 стр.;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ул. Минская, 49;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Р.Нуреева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63, 65, 67, 48, 46, 44, 57, 59, 61, 38, 36, 34, 32, 49, 47, 45, 43, 41, 39, 37, 35, 33, 29, 27, 25, 23, 19, 31;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Ш.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Алкина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 3, 7, 9, 6, 10, 14, 18, 13, 15, 22, 28, 30, 34, 38, 42, 48, 17. 19, 21, 23, 25, 27;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О.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Лундсрема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 5, 9, 15, 17, 21, 25, 29, 33, 39, 41;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 xml:space="preserve">ул. </w:t>
            </w:r>
            <w:proofErr w:type="spellStart"/>
            <w:r w:rsidRPr="00800129">
              <w:rPr>
                <w:color w:val="000000"/>
                <w:sz w:val="20"/>
                <w:szCs w:val="22"/>
              </w:rPr>
              <w:t>В.Деринга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1, 2, 3, 4, 5, 6, 7, 8, 9, 10, 11, 12, 13, 14, 15, 16, 17, 18, 19, 20, 21, 22, 23, 24, 25, 26, 27, 28, 29, 30, 31, 32, 33,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r w:rsidRPr="00800129">
              <w:rPr>
                <w:color w:val="000000"/>
                <w:sz w:val="20"/>
                <w:szCs w:val="22"/>
              </w:rPr>
              <w:t>34, 35, 37, 39, 41, 43, 45, 47, 49, 51, 53, 55, 57, 59, 61, 63, 65, 67, 69, 71, 73, 75;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proofErr w:type="spellStart"/>
            <w:r w:rsidRPr="00800129">
              <w:rPr>
                <w:color w:val="000000"/>
                <w:sz w:val="20"/>
                <w:szCs w:val="22"/>
              </w:rPr>
              <w:t>пер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.Б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лестящий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1, 3, 5, 7, 9, 2, 4, 6;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</w:rPr>
            </w:pPr>
            <w:proofErr w:type="spellStart"/>
            <w:r w:rsidRPr="00800129">
              <w:rPr>
                <w:color w:val="000000"/>
                <w:sz w:val="20"/>
                <w:szCs w:val="22"/>
              </w:rPr>
              <w:t>ул</w:t>
            </w:r>
            <w:proofErr w:type="gramStart"/>
            <w:r w:rsidRPr="00800129">
              <w:rPr>
                <w:color w:val="000000"/>
                <w:sz w:val="20"/>
                <w:szCs w:val="22"/>
              </w:rPr>
              <w:t>.Р</w:t>
            </w:r>
            <w:proofErr w:type="gramEnd"/>
            <w:r w:rsidRPr="00800129">
              <w:rPr>
                <w:color w:val="000000"/>
                <w:sz w:val="20"/>
                <w:szCs w:val="22"/>
              </w:rPr>
              <w:t>ауиса</w:t>
            </w:r>
            <w:proofErr w:type="spellEnd"/>
            <w:r w:rsidRPr="00800129">
              <w:rPr>
                <w:color w:val="000000"/>
                <w:sz w:val="20"/>
                <w:szCs w:val="22"/>
              </w:rPr>
              <w:t xml:space="preserve"> Гареева 2, 4;</w:t>
            </w: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  <w:highlight w:val="yellow"/>
              </w:rPr>
            </w:pPr>
            <w:r w:rsidRPr="00800129">
              <w:rPr>
                <w:color w:val="000000"/>
                <w:sz w:val="20"/>
                <w:szCs w:val="22"/>
              </w:rPr>
              <w:t>Оренбургский тракт 138Д, 140Г*.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lastRenderedPageBreak/>
              <w:t>с 01.01.2024 по 30.06.2024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13,08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14,21</w:t>
            </w:r>
          </w:p>
        </w:tc>
      </w:tr>
      <w:tr w:rsidR="00800129" w:rsidRPr="00800129" w:rsidTr="001676FD">
        <w:trPr>
          <w:trHeight w:val="283"/>
        </w:trPr>
        <w:tc>
          <w:tcPr>
            <w:tcW w:w="186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vMerge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с 01.07.2024 по 31.12.2024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20,78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21,72</w:t>
            </w:r>
          </w:p>
        </w:tc>
      </w:tr>
      <w:tr w:rsidR="00800129" w:rsidRPr="00800129" w:rsidTr="001676FD">
        <w:trPr>
          <w:trHeight w:val="283"/>
        </w:trPr>
        <w:tc>
          <w:tcPr>
            <w:tcW w:w="186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vMerge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с 01.01.2025 по 30.06.2025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  <w:highlight w:val="yellow"/>
              </w:rPr>
            </w:pPr>
            <w:r w:rsidRPr="00800129">
              <w:rPr>
                <w:bCs/>
                <w:sz w:val="20"/>
                <w:szCs w:val="22"/>
              </w:rPr>
              <w:t>17,43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  <w:highlight w:val="yellow"/>
              </w:rPr>
            </w:pPr>
            <w:r w:rsidRPr="00800129">
              <w:rPr>
                <w:bCs/>
                <w:sz w:val="20"/>
                <w:szCs w:val="22"/>
              </w:rPr>
              <w:t>19,81</w:t>
            </w:r>
          </w:p>
        </w:tc>
      </w:tr>
      <w:tr w:rsidR="00800129" w:rsidRPr="00800129" w:rsidTr="001676FD">
        <w:trPr>
          <w:trHeight w:val="283"/>
        </w:trPr>
        <w:tc>
          <w:tcPr>
            <w:tcW w:w="186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vMerge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с 01.07.2025 по 31.12.2025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  <w:highlight w:val="yellow"/>
              </w:rPr>
            </w:pPr>
            <w:r w:rsidRPr="00800129">
              <w:rPr>
                <w:bCs/>
                <w:sz w:val="20"/>
                <w:szCs w:val="22"/>
              </w:rPr>
              <w:t>17,43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  <w:highlight w:val="yellow"/>
              </w:rPr>
            </w:pPr>
            <w:r w:rsidRPr="00800129">
              <w:rPr>
                <w:bCs/>
                <w:sz w:val="20"/>
                <w:szCs w:val="22"/>
              </w:rPr>
              <w:t>19,81</w:t>
            </w:r>
          </w:p>
        </w:tc>
      </w:tr>
      <w:tr w:rsidR="00800129" w:rsidRPr="00800129" w:rsidTr="001676FD">
        <w:trPr>
          <w:trHeight w:val="283"/>
        </w:trPr>
        <w:tc>
          <w:tcPr>
            <w:tcW w:w="186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vMerge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с 01.01.2026 по 30.06.2026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15,49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17,20</w:t>
            </w:r>
          </w:p>
        </w:tc>
      </w:tr>
      <w:tr w:rsidR="00800129" w:rsidRPr="00800129" w:rsidTr="001676FD">
        <w:trPr>
          <w:trHeight w:val="673"/>
        </w:trPr>
        <w:tc>
          <w:tcPr>
            <w:tcW w:w="186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vMerge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с 01.07.2026 по 31.12.2026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16,57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18,46</w:t>
            </w:r>
          </w:p>
        </w:tc>
      </w:tr>
    </w:tbl>
    <w:p w:rsidR="00800129" w:rsidRPr="00800129" w:rsidRDefault="00800129" w:rsidP="00800129">
      <w:pPr>
        <w:jc w:val="both"/>
        <w:rPr>
          <w:sz w:val="20"/>
          <w:szCs w:val="22"/>
        </w:rPr>
      </w:pPr>
    </w:p>
    <w:p w:rsidR="00800129" w:rsidRPr="00800129" w:rsidRDefault="00800129" w:rsidP="00800129">
      <w:pPr>
        <w:jc w:val="both"/>
        <w:rPr>
          <w:sz w:val="22"/>
          <w:szCs w:val="22"/>
        </w:rPr>
      </w:pPr>
      <w:r w:rsidRPr="00800129">
        <w:rPr>
          <w:sz w:val="22"/>
          <w:szCs w:val="22"/>
        </w:rPr>
        <w:t>* По адресам с. </w:t>
      </w:r>
      <w:proofErr w:type="spellStart"/>
      <w:r w:rsidRPr="00800129">
        <w:rPr>
          <w:sz w:val="22"/>
          <w:szCs w:val="22"/>
        </w:rPr>
        <w:t>Усады</w:t>
      </w:r>
      <w:proofErr w:type="spellEnd"/>
      <w:r w:rsidRPr="00800129">
        <w:rPr>
          <w:sz w:val="22"/>
          <w:szCs w:val="22"/>
        </w:rPr>
        <w:t>, ул. Счастливая 1-7,8,9,10,11,16;</w:t>
      </w:r>
      <w:r w:rsidRPr="00800129">
        <w:rPr>
          <w:sz w:val="28"/>
          <w:szCs w:val="20"/>
        </w:rPr>
        <w:t xml:space="preserve"> </w:t>
      </w:r>
      <w:r w:rsidRPr="00800129">
        <w:rPr>
          <w:sz w:val="22"/>
          <w:szCs w:val="22"/>
        </w:rPr>
        <w:t>Оренбургский тракт,140Г* транспортировка холодной воды и транспортировка сточных вод осуществляется ООО «</w:t>
      </w:r>
      <w:proofErr w:type="spellStart"/>
      <w:r w:rsidRPr="00800129">
        <w:rPr>
          <w:sz w:val="22"/>
          <w:szCs w:val="22"/>
        </w:rPr>
        <w:t>ТеплоГрупп</w:t>
      </w:r>
      <w:proofErr w:type="spellEnd"/>
      <w:r w:rsidRPr="00800129">
        <w:rPr>
          <w:sz w:val="22"/>
          <w:szCs w:val="22"/>
        </w:rPr>
        <w:t>» и Обществом с ограниченной ответственностью «РСК» по определенным участкам сетей.</w:t>
      </w:r>
    </w:p>
    <w:p w:rsidR="00800129" w:rsidRPr="00800129" w:rsidRDefault="00800129" w:rsidP="00800129">
      <w:pPr>
        <w:jc w:val="both"/>
        <w:rPr>
          <w:sz w:val="22"/>
          <w:szCs w:val="22"/>
        </w:rPr>
      </w:pPr>
      <w:r w:rsidRPr="00800129">
        <w:rPr>
          <w:sz w:val="22"/>
          <w:szCs w:val="22"/>
        </w:rPr>
        <w:t xml:space="preserve">** По адресам ул. Удивительная, 9, ул. </w:t>
      </w:r>
      <w:proofErr w:type="spellStart"/>
      <w:r w:rsidRPr="00800129">
        <w:rPr>
          <w:sz w:val="22"/>
          <w:szCs w:val="22"/>
        </w:rPr>
        <w:t>Фикрята</w:t>
      </w:r>
      <w:proofErr w:type="spellEnd"/>
      <w:r w:rsidRPr="00800129">
        <w:rPr>
          <w:sz w:val="22"/>
          <w:szCs w:val="22"/>
        </w:rPr>
        <w:t xml:space="preserve"> </w:t>
      </w:r>
      <w:proofErr w:type="spellStart"/>
      <w:r w:rsidRPr="00800129">
        <w:rPr>
          <w:sz w:val="22"/>
          <w:szCs w:val="22"/>
        </w:rPr>
        <w:t>Табеева</w:t>
      </w:r>
      <w:proofErr w:type="spellEnd"/>
      <w:r w:rsidRPr="00800129">
        <w:rPr>
          <w:sz w:val="22"/>
          <w:szCs w:val="22"/>
        </w:rPr>
        <w:t xml:space="preserve">, 1-6, ул. </w:t>
      </w:r>
      <w:proofErr w:type="spellStart"/>
      <w:r w:rsidRPr="00800129">
        <w:rPr>
          <w:sz w:val="22"/>
          <w:szCs w:val="22"/>
        </w:rPr>
        <w:t>Азата</w:t>
      </w:r>
      <w:proofErr w:type="spellEnd"/>
      <w:r w:rsidRPr="00800129">
        <w:rPr>
          <w:sz w:val="22"/>
          <w:szCs w:val="22"/>
        </w:rPr>
        <w:t xml:space="preserve"> </w:t>
      </w:r>
      <w:proofErr w:type="spellStart"/>
      <w:r w:rsidRPr="00800129">
        <w:rPr>
          <w:sz w:val="22"/>
          <w:szCs w:val="22"/>
        </w:rPr>
        <w:t>Аббасова</w:t>
      </w:r>
      <w:proofErr w:type="spellEnd"/>
      <w:r w:rsidRPr="00800129">
        <w:rPr>
          <w:sz w:val="22"/>
          <w:szCs w:val="22"/>
        </w:rPr>
        <w:t xml:space="preserve">, 3, 5, 6 к.2, 6 к.3, 7, 8, 9, 10, 11, 12, 13 транспортировка холодной воды </w:t>
      </w:r>
      <w:r>
        <w:rPr>
          <w:sz w:val="22"/>
          <w:szCs w:val="22"/>
        </w:rPr>
        <w:br/>
      </w:r>
      <w:r w:rsidRPr="00800129">
        <w:rPr>
          <w:sz w:val="22"/>
          <w:szCs w:val="22"/>
        </w:rPr>
        <w:t>и транспортировка сточных вод осуществляется ООО «</w:t>
      </w:r>
      <w:proofErr w:type="spellStart"/>
      <w:r w:rsidRPr="00800129">
        <w:rPr>
          <w:sz w:val="22"/>
          <w:szCs w:val="22"/>
        </w:rPr>
        <w:t>ТеплоГрупп</w:t>
      </w:r>
      <w:proofErr w:type="spellEnd"/>
      <w:r w:rsidRPr="00800129">
        <w:rPr>
          <w:sz w:val="22"/>
          <w:szCs w:val="22"/>
        </w:rPr>
        <w:t>» и Обществом с ограниченной ответственностью «Смежная сетевая компания «Интеграция» по определенным участкам сетей.</w:t>
      </w:r>
    </w:p>
    <w:p w:rsidR="00800129" w:rsidRDefault="00800129" w:rsidP="00800129">
      <w:pPr>
        <w:ind w:right="140"/>
        <w:rPr>
          <w:sz w:val="28"/>
        </w:rPr>
      </w:pPr>
    </w:p>
    <w:p w:rsidR="00800129" w:rsidRPr="00800129" w:rsidRDefault="00800129" w:rsidP="00800129">
      <w:pPr>
        <w:ind w:right="140"/>
        <w:rPr>
          <w:sz w:val="28"/>
        </w:rPr>
      </w:pPr>
    </w:p>
    <w:p w:rsidR="00800129" w:rsidRPr="00800129" w:rsidRDefault="00800129" w:rsidP="00800129">
      <w:pPr>
        <w:ind w:right="140"/>
        <w:rPr>
          <w:sz w:val="28"/>
          <w:szCs w:val="28"/>
        </w:rPr>
      </w:pPr>
      <w:r w:rsidRPr="00800129">
        <w:rPr>
          <w:sz w:val="28"/>
          <w:szCs w:val="28"/>
        </w:rPr>
        <w:t xml:space="preserve">Отдел организации, контроля и сопровождения </w:t>
      </w:r>
    </w:p>
    <w:p w:rsidR="00800129" w:rsidRPr="00800129" w:rsidRDefault="00800129" w:rsidP="00800129">
      <w:pPr>
        <w:ind w:right="140"/>
        <w:rPr>
          <w:sz w:val="28"/>
          <w:szCs w:val="28"/>
        </w:rPr>
      </w:pPr>
      <w:r w:rsidRPr="00800129">
        <w:rPr>
          <w:sz w:val="28"/>
          <w:szCs w:val="28"/>
        </w:rPr>
        <w:t xml:space="preserve">принятия тарифных решений Государственного </w:t>
      </w:r>
    </w:p>
    <w:p w:rsidR="00800129" w:rsidRPr="00800129" w:rsidRDefault="00800129" w:rsidP="00800129">
      <w:pPr>
        <w:ind w:right="140"/>
        <w:rPr>
          <w:sz w:val="28"/>
          <w:szCs w:val="28"/>
        </w:rPr>
      </w:pPr>
      <w:r w:rsidRPr="00800129">
        <w:rPr>
          <w:sz w:val="28"/>
          <w:szCs w:val="28"/>
        </w:rPr>
        <w:t>комитета Республики Татарстан по тарифам</w:t>
      </w:r>
    </w:p>
    <w:p w:rsidR="00800129" w:rsidRDefault="00800129">
      <w:r>
        <w:br w:type="page"/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lastRenderedPageBreak/>
        <w:t>Приложение 3 к постановлению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 xml:space="preserve">Государственного комитета 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Республики Татарстан по тарифам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 xml:space="preserve">от </w:t>
      </w:r>
      <w:r w:rsidRPr="00800129">
        <w:rPr>
          <w:u w:val="single"/>
        </w:rPr>
        <w:t>13.12.2023</w:t>
      </w:r>
      <w:r w:rsidRPr="00800129">
        <w:t xml:space="preserve"> № </w:t>
      </w:r>
      <w:r w:rsidRPr="00800129">
        <w:rPr>
          <w:bCs/>
          <w:u w:val="single"/>
        </w:rPr>
        <w:t>557-53/кс-2023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proofErr w:type="gramStart"/>
      <w:r w:rsidRPr="00800129">
        <w:t xml:space="preserve">(в редакции постановления </w:t>
      </w:r>
      <w:r w:rsidRPr="00800129">
        <w:br/>
        <w:t>Государственного комитета</w:t>
      </w:r>
      <w:proofErr w:type="gramEnd"/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Республики Татарстан по тарифам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от ______</w:t>
      </w:r>
      <w:r>
        <w:t>__</w:t>
      </w:r>
      <w:r w:rsidRPr="00800129">
        <w:t>___ № __________________)</w:t>
      </w:r>
    </w:p>
    <w:p w:rsidR="00800129" w:rsidRPr="00800129" w:rsidRDefault="00800129" w:rsidP="00800129">
      <w:pPr>
        <w:rPr>
          <w:sz w:val="18"/>
        </w:rPr>
      </w:pPr>
    </w:p>
    <w:p w:rsidR="00800129" w:rsidRPr="00800129" w:rsidRDefault="00800129" w:rsidP="00800129">
      <w:pPr>
        <w:tabs>
          <w:tab w:val="left" w:pos="5209"/>
        </w:tabs>
        <w:rPr>
          <w:sz w:val="1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5571"/>
        <w:gridCol w:w="158"/>
        <w:gridCol w:w="2355"/>
        <w:gridCol w:w="430"/>
        <w:gridCol w:w="857"/>
        <w:gridCol w:w="1151"/>
        <w:gridCol w:w="799"/>
        <w:gridCol w:w="981"/>
        <w:gridCol w:w="638"/>
        <w:gridCol w:w="1820"/>
      </w:tblGrid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800129" w:rsidRPr="00800129" w:rsidTr="001676FD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ООО «</w:t>
            </w:r>
            <w:proofErr w:type="spellStart"/>
            <w:r w:rsidRPr="00800129">
              <w:rPr>
                <w:sz w:val="20"/>
                <w:szCs w:val="20"/>
              </w:rPr>
              <w:t>ТеплоГрупп</w:t>
            </w:r>
            <w:proofErr w:type="spellEnd"/>
            <w:r w:rsidRPr="00800129">
              <w:rPr>
                <w:sz w:val="20"/>
                <w:szCs w:val="20"/>
              </w:rPr>
              <w:t>»</w:t>
            </w:r>
          </w:p>
        </w:tc>
      </w:tr>
      <w:tr w:rsidR="00800129" w:rsidRPr="00800129" w:rsidTr="001676FD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 xml:space="preserve">420064, г. Казань, ул. Баки </w:t>
            </w:r>
            <w:proofErr w:type="spellStart"/>
            <w:r w:rsidRPr="00800129">
              <w:rPr>
                <w:sz w:val="20"/>
                <w:szCs w:val="20"/>
              </w:rPr>
              <w:t>Урманче</w:t>
            </w:r>
            <w:proofErr w:type="spellEnd"/>
            <w:r w:rsidRPr="00800129">
              <w:rPr>
                <w:sz w:val="20"/>
                <w:szCs w:val="20"/>
              </w:rPr>
              <w:t>, д. 7, пом. 1310</w:t>
            </w:r>
          </w:p>
        </w:tc>
      </w:tr>
      <w:tr w:rsidR="00800129" w:rsidRPr="00800129" w:rsidTr="001676FD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800129" w:rsidRPr="00800129" w:rsidTr="001676FD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800129" w:rsidRPr="00800129" w:rsidTr="001676FD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01.01.2025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31.12.2026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1676FD">
        <w:trPr>
          <w:trHeight w:val="29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1ХВС - Тариф на транспортировку холодной воды - водоснабжение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9 837,14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10 154,64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800129">
              <w:rPr>
                <w:sz w:val="20"/>
                <w:szCs w:val="20"/>
              </w:rPr>
              <w:t>т.ч</w:t>
            </w:r>
            <w:proofErr w:type="spellEnd"/>
            <w:r w:rsidRPr="00800129">
              <w:rPr>
                <w:sz w:val="20"/>
                <w:szCs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1ХВС - Тариф на транспортировку холодной воды - водоснабжение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2 657,62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2 657,62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70,12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70,12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2 587,50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2 587,50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Отпуск (реализация) воды потребителям всего, в </w:t>
            </w:r>
            <w:proofErr w:type="spellStart"/>
            <w:r w:rsidRPr="00800129">
              <w:rPr>
                <w:sz w:val="20"/>
                <w:szCs w:val="20"/>
              </w:rPr>
              <w:t>т.ч</w:t>
            </w:r>
            <w:proofErr w:type="spellEnd"/>
            <w:r w:rsidRPr="00800129">
              <w:rPr>
                <w:sz w:val="20"/>
                <w:szCs w:val="20"/>
              </w:rPr>
              <w:t>.: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2 587,50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2 587,50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населению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6.4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2 587,50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2 587,50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18 851,87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19 460,34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13 306,94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13 736,45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9 837,14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10 154,64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5 020,46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5 182,50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Амортизация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3 443,63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3 443,63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5 895,23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5 008,46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2 104,62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2 028,86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8.1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834,77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900,08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45 087,63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800129">
              <w:rPr>
                <w:bCs/>
                <w:sz w:val="20"/>
                <w:szCs w:val="20"/>
              </w:rPr>
              <w:t>45 278,44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Текущий ремонт сетей водоснабжения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2025-2026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1ХВС - Тариф на транспортировку холодной воды - водоснабжение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Дпс</w:t>
            </w:r>
            <w:proofErr w:type="spellEnd"/>
            <w:r w:rsidRPr="00800129">
              <w:rPr>
                <w:sz w:val="20"/>
                <w:szCs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Дпрс</w:t>
            </w:r>
            <w:proofErr w:type="spellEnd"/>
            <w:r w:rsidRPr="00800129">
              <w:rPr>
                <w:sz w:val="20"/>
                <w:szCs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proofErr w:type="gramStart"/>
            <w:r w:rsidRPr="00800129">
              <w:rPr>
                <w:sz w:val="20"/>
                <w:szCs w:val="20"/>
              </w:rPr>
              <w:t>Пн</w:t>
            </w:r>
            <w:proofErr w:type="spellEnd"/>
            <w:proofErr w:type="gramEnd"/>
            <w:r w:rsidRPr="00800129">
              <w:rPr>
                <w:sz w:val="20"/>
                <w:szCs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ед./</w:t>
            </w:r>
            <w:proofErr w:type="gramStart"/>
            <w:r w:rsidRPr="00800129">
              <w:rPr>
                <w:sz w:val="20"/>
                <w:szCs w:val="20"/>
              </w:rPr>
              <w:t>км</w:t>
            </w:r>
            <w:proofErr w:type="gramEnd"/>
            <w:r w:rsidRPr="008001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-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Дпв</w:t>
            </w:r>
            <w:proofErr w:type="spellEnd"/>
            <w:r w:rsidRPr="00800129">
              <w:rPr>
                <w:sz w:val="20"/>
                <w:szCs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2,64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2,64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Урп</w:t>
            </w:r>
            <w:proofErr w:type="spellEnd"/>
            <w:r w:rsidRPr="00800129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кВт*ч/</w:t>
            </w:r>
            <w:proofErr w:type="spellStart"/>
            <w:r w:rsidRPr="00800129">
              <w:rPr>
                <w:sz w:val="20"/>
                <w:szCs w:val="20"/>
              </w:rPr>
              <w:t>куб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001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88" w:type="pct"/>
            <w:vMerge w:val="restar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-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Урп</w:t>
            </w:r>
            <w:proofErr w:type="spellEnd"/>
            <w:r w:rsidRPr="00800129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кВт*ч/</w:t>
            </w:r>
            <w:proofErr w:type="spellStart"/>
            <w:r w:rsidRPr="00800129">
              <w:rPr>
                <w:sz w:val="20"/>
                <w:szCs w:val="20"/>
              </w:rPr>
              <w:t>куб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001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pct"/>
            <w:gridSpan w:val="4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11" w:type="pct"/>
            <w:gridSpan w:val="3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1ХВС - Тариф на транспортировку холодной воды - водоснабжение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lastRenderedPageBreak/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00129" w:rsidRPr="00800129" w:rsidTr="001676F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№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800129" w:rsidRPr="00800129" w:rsidRDefault="00800129" w:rsidP="00800129">
      <w:pPr>
        <w:tabs>
          <w:tab w:val="left" w:pos="5209"/>
        </w:tabs>
      </w:pPr>
    </w:p>
    <w:p w:rsidR="00800129" w:rsidRDefault="00800129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738"/>
        <w:gridCol w:w="1567"/>
        <w:gridCol w:w="1708"/>
        <w:gridCol w:w="2163"/>
        <w:gridCol w:w="2394"/>
        <w:gridCol w:w="2197"/>
      </w:tblGrid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800129" w:rsidRPr="00800129" w:rsidTr="001676FD">
        <w:trPr>
          <w:trHeight w:val="284"/>
        </w:trPr>
        <w:tc>
          <w:tcPr>
            <w:tcW w:w="1736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264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ООО «</w:t>
            </w:r>
            <w:proofErr w:type="spellStart"/>
            <w:r w:rsidRPr="00800129">
              <w:rPr>
                <w:sz w:val="20"/>
                <w:szCs w:val="20"/>
              </w:rPr>
              <w:t>ТеплоГрупп</w:t>
            </w:r>
            <w:proofErr w:type="spellEnd"/>
            <w:r w:rsidRPr="00800129">
              <w:rPr>
                <w:sz w:val="20"/>
                <w:szCs w:val="20"/>
              </w:rPr>
              <w:t>»</w:t>
            </w:r>
          </w:p>
        </w:tc>
      </w:tr>
      <w:tr w:rsidR="00800129" w:rsidRPr="00800129" w:rsidTr="001676FD">
        <w:trPr>
          <w:trHeight w:val="284"/>
        </w:trPr>
        <w:tc>
          <w:tcPr>
            <w:tcW w:w="1736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264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 xml:space="preserve">420064, г. Казань, ул. Баки </w:t>
            </w:r>
            <w:proofErr w:type="spellStart"/>
            <w:r w:rsidRPr="00800129">
              <w:rPr>
                <w:sz w:val="20"/>
                <w:szCs w:val="20"/>
              </w:rPr>
              <w:t>Урманче</w:t>
            </w:r>
            <w:proofErr w:type="spellEnd"/>
            <w:r w:rsidRPr="00800129">
              <w:rPr>
                <w:sz w:val="20"/>
                <w:szCs w:val="20"/>
              </w:rPr>
              <w:t>, д. 7, пом. 1310</w:t>
            </w:r>
          </w:p>
        </w:tc>
      </w:tr>
      <w:tr w:rsidR="00800129" w:rsidRPr="00800129" w:rsidTr="001676FD">
        <w:trPr>
          <w:trHeight w:val="284"/>
        </w:trPr>
        <w:tc>
          <w:tcPr>
            <w:tcW w:w="1736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264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800129" w:rsidRPr="00800129" w:rsidTr="001676FD">
        <w:trPr>
          <w:trHeight w:val="284"/>
        </w:trPr>
        <w:tc>
          <w:tcPr>
            <w:tcW w:w="1736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264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800129" w:rsidRPr="00800129" w:rsidTr="001676FD">
        <w:trPr>
          <w:trHeight w:val="284"/>
        </w:trPr>
        <w:tc>
          <w:tcPr>
            <w:tcW w:w="1736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01.01.2025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31.12.2026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08" w:type="pct"/>
            <w:gridSpan w:val="3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pct"/>
            <w:gridSpan w:val="3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 xml:space="preserve">1ВО - Тариф на транспортировку сточных вод - водоотведение </w:t>
            </w:r>
          </w:p>
        </w:tc>
      </w:tr>
      <w:tr w:rsidR="00800129" w:rsidRPr="00800129" w:rsidTr="001676FD">
        <w:trPr>
          <w:trHeight w:val="177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13 924,65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14 374,09</w:t>
            </w:r>
          </w:p>
        </w:tc>
      </w:tr>
      <w:tr w:rsidR="00800129" w:rsidRPr="00800129" w:rsidTr="001676FD">
        <w:trPr>
          <w:trHeight w:val="167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800129">
              <w:rPr>
                <w:sz w:val="20"/>
                <w:szCs w:val="20"/>
              </w:rPr>
              <w:t>т.ч</w:t>
            </w:r>
            <w:proofErr w:type="spellEnd"/>
            <w:r w:rsidRPr="00800129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4285" w:type="pct"/>
            <w:gridSpan w:val="6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0129" w:rsidRPr="00800129" w:rsidTr="001676FD">
        <w:trPr>
          <w:trHeight w:val="284"/>
        </w:trPr>
        <w:tc>
          <w:tcPr>
            <w:tcW w:w="4285" w:type="pct"/>
            <w:gridSpan w:val="6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1ВО - Тариф на транспортировку сточных вод - водоотведение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  <w:highlight w:val="yellow"/>
              </w:rPr>
            </w:pP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08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pct"/>
            <w:gridSpan w:val="3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Прием сточных вод, всего, в </w:t>
            </w:r>
            <w:proofErr w:type="spellStart"/>
            <w:r w:rsidRPr="00800129">
              <w:rPr>
                <w:sz w:val="20"/>
                <w:szCs w:val="20"/>
              </w:rPr>
              <w:t>т.ч</w:t>
            </w:r>
            <w:proofErr w:type="spellEnd"/>
            <w:r w:rsidRPr="00800129">
              <w:rPr>
                <w:sz w:val="20"/>
                <w:szCs w:val="20"/>
              </w:rPr>
              <w:t>.: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3 528,66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3 528,66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80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Отпуск (реализация) услуг всего, в </w:t>
            </w:r>
            <w:proofErr w:type="spellStart"/>
            <w:r w:rsidRPr="00800129">
              <w:rPr>
                <w:sz w:val="20"/>
                <w:szCs w:val="20"/>
              </w:rPr>
              <w:t>т.ч</w:t>
            </w:r>
            <w:proofErr w:type="spellEnd"/>
            <w:r w:rsidRPr="00800129">
              <w:rPr>
                <w:sz w:val="20"/>
                <w:szCs w:val="20"/>
              </w:rPr>
              <w:t>.: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3 528,66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3 528,66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населению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3.3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3 528,66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3 528,66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3.4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5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183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5.1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Объем сточных вод, пропущенный через </w:t>
            </w:r>
            <w:proofErr w:type="spellStart"/>
            <w:r w:rsidRPr="00800129">
              <w:rPr>
                <w:sz w:val="20"/>
                <w:szCs w:val="20"/>
              </w:rPr>
              <w:t>водовыпуски</w:t>
            </w:r>
            <w:proofErr w:type="spellEnd"/>
            <w:r w:rsidRPr="00800129">
              <w:rPr>
                <w:sz w:val="20"/>
                <w:szCs w:val="20"/>
              </w:rPr>
              <w:t xml:space="preserve">, не </w:t>
            </w:r>
            <w:proofErr w:type="gramStart"/>
            <w:r w:rsidRPr="00800129">
              <w:rPr>
                <w:sz w:val="20"/>
                <w:szCs w:val="20"/>
              </w:rPr>
              <w:t>оснащенные</w:t>
            </w:r>
            <w:proofErr w:type="gramEnd"/>
            <w:r w:rsidRPr="00800129">
              <w:rPr>
                <w:sz w:val="20"/>
                <w:szCs w:val="20"/>
              </w:rPr>
              <w:t xml:space="preserve"> очистными сооружениями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gramEnd"/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608" w:type="pct"/>
            <w:gridSpan w:val="3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pct"/>
            <w:gridSpan w:val="3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1676FD">
        <w:trPr>
          <w:trHeight w:val="193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33 198,93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34 413,72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21 519,26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22 213,82</w:t>
            </w:r>
          </w:p>
        </w:tc>
      </w:tr>
      <w:tr w:rsidR="00800129" w:rsidRPr="00800129" w:rsidTr="001676FD">
        <w:trPr>
          <w:trHeight w:val="203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13 924,65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14 374,09</w:t>
            </w:r>
          </w:p>
        </w:tc>
      </w:tr>
      <w:tr w:rsidR="00800129" w:rsidRPr="00800129" w:rsidTr="001676FD">
        <w:trPr>
          <w:trHeight w:val="179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6 261,60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6 463,70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159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5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Амортизация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4 427,62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4 427,62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9 700,89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8 574,08</w:t>
            </w:r>
          </w:p>
        </w:tc>
      </w:tr>
      <w:tr w:rsidR="00800129" w:rsidRPr="00800129" w:rsidTr="001676FD">
        <w:trPr>
          <w:trHeight w:val="139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7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2 732,06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2 634,65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8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158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8.1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9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10.3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332,00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тыс</w:t>
            </w:r>
            <w:proofErr w:type="gramStart"/>
            <w:r w:rsidRPr="00800129">
              <w:rPr>
                <w:sz w:val="20"/>
                <w:szCs w:val="20"/>
              </w:rPr>
              <w:t>.р</w:t>
            </w:r>
            <w:proofErr w:type="gramEnd"/>
            <w:r w:rsidRPr="00800129">
              <w:rPr>
                <w:sz w:val="20"/>
                <w:szCs w:val="20"/>
              </w:rPr>
              <w:t>уб</w:t>
            </w:r>
            <w:proofErr w:type="spellEnd"/>
            <w:r w:rsidRPr="00800129"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  <w:r w:rsidRPr="00800129">
              <w:rPr>
                <w:sz w:val="20"/>
                <w:szCs w:val="20"/>
              </w:rPr>
              <w:t>69 913,75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70 887,86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9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Текущий ремонт сетей водоотведения</w:t>
            </w:r>
          </w:p>
        </w:tc>
        <w:tc>
          <w:tcPr>
            <w:tcW w:w="219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right="-106"/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2025-2026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08" w:type="pct"/>
            <w:gridSpan w:val="3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pct"/>
            <w:gridSpan w:val="3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1ВО - Тариф на транспортировку сточных вод - водоотведение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4806" w:type="pct"/>
            <w:gridSpan w:val="6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качества очистки сточных вод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Дсвно</w:t>
            </w:r>
            <w:proofErr w:type="spellEnd"/>
            <w:r w:rsidRPr="00800129">
              <w:rPr>
                <w:sz w:val="20"/>
                <w:szCs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Днн</w:t>
            </w:r>
            <w:proofErr w:type="spellEnd"/>
            <w:r w:rsidRPr="00800129">
              <w:rPr>
                <w:sz w:val="20"/>
                <w:szCs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-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806" w:type="pct"/>
            <w:gridSpan w:val="6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00129">
              <w:rPr>
                <w:sz w:val="20"/>
                <w:szCs w:val="20"/>
              </w:rPr>
              <w:t>Пн</w:t>
            </w:r>
            <w:proofErr w:type="spellEnd"/>
            <w:proofErr w:type="gramEnd"/>
            <w:r w:rsidRPr="00800129">
              <w:rPr>
                <w:sz w:val="20"/>
                <w:szCs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ед./</w:t>
            </w:r>
            <w:proofErr w:type="gramStart"/>
            <w:r w:rsidRPr="00800129">
              <w:rPr>
                <w:sz w:val="20"/>
                <w:szCs w:val="20"/>
              </w:rPr>
              <w:t>км</w:t>
            </w:r>
            <w:proofErr w:type="gramEnd"/>
            <w:r w:rsidRPr="008001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1676FD">
        <w:trPr>
          <w:trHeight w:val="213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4806" w:type="pct"/>
            <w:gridSpan w:val="6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Урост</w:t>
            </w:r>
            <w:proofErr w:type="spellEnd"/>
            <w:r w:rsidRPr="00800129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кВт*ч/</w:t>
            </w:r>
            <w:proofErr w:type="spellStart"/>
            <w:r w:rsidRPr="00800129">
              <w:rPr>
                <w:sz w:val="20"/>
                <w:szCs w:val="20"/>
              </w:rPr>
              <w:t>куб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001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0,171</w:t>
            </w:r>
          </w:p>
        </w:tc>
        <w:tc>
          <w:tcPr>
            <w:tcW w:w="715" w:type="pct"/>
            <w:vMerge w:val="restar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0,171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proofErr w:type="spellStart"/>
            <w:r w:rsidRPr="00800129">
              <w:rPr>
                <w:sz w:val="20"/>
                <w:szCs w:val="20"/>
              </w:rPr>
              <w:t>Урп</w:t>
            </w:r>
            <w:proofErr w:type="spellEnd"/>
            <w:r w:rsidRPr="00800129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кВт*ч/</w:t>
            </w:r>
            <w:proofErr w:type="spellStart"/>
            <w:r w:rsidRPr="00800129">
              <w:rPr>
                <w:sz w:val="20"/>
                <w:szCs w:val="20"/>
              </w:rPr>
              <w:t>куб</w:t>
            </w:r>
            <w:proofErr w:type="gramStart"/>
            <w:r w:rsidRPr="0080012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5" w:type="pct"/>
            <w:vMerge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08" w:type="pct"/>
            <w:gridSpan w:val="3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pct"/>
            <w:gridSpan w:val="3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1ВО - Тариф на транспортировку сточных вод - водоотведение</w:t>
            </w:r>
          </w:p>
        </w:tc>
      </w:tr>
      <w:tr w:rsidR="00800129" w:rsidRPr="00800129" w:rsidTr="001676FD">
        <w:trPr>
          <w:trHeight w:val="285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 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800129" w:rsidRPr="00800129" w:rsidTr="001676F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00129" w:rsidRPr="00800129" w:rsidTr="001676FD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№</w:t>
            </w:r>
          </w:p>
        </w:tc>
        <w:tc>
          <w:tcPr>
            <w:tcW w:w="4806" w:type="pct"/>
            <w:gridSpan w:val="6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800129" w:rsidRPr="00800129" w:rsidRDefault="00800129" w:rsidP="00800129">
      <w:pPr>
        <w:tabs>
          <w:tab w:val="left" w:pos="5209"/>
        </w:tabs>
      </w:pPr>
    </w:p>
    <w:p w:rsidR="00556AB8" w:rsidRDefault="00556AB8" w:rsidP="00800129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sectPr w:rsidR="00556AB8" w:rsidSect="00F214E5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01E">
          <w:rPr>
            <w:noProof/>
          </w:rPr>
          <w:t>3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DB804AC"/>
    <w:multiLevelType w:val="hybridMultilevel"/>
    <w:tmpl w:val="C3285F30"/>
    <w:lvl w:ilvl="0" w:tplc="465C9F90">
      <w:start w:val="1"/>
      <w:numFmt w:val="decimal"/>
      <w:lvlText w:val="%1)"/>
      <w:lvlJc w:val="left"/>
      <w:pPr>
        <w:ind w:left="6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1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16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2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6C51"/>
    <w:rsid w:val="000470F5"/>
    <w:rsid w:val="0004795A"/>
    <w:rsid w:val="000500E3"/>
    <w:rsid w:val="000507E6"/>
    <w:rsid w:val="000508E9"/>
    <w:rsid w:val="00051AD5"/>
    <w:rsid w:val="00056BAF"/>
    <w:rsid w:val="00056E8C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3FB4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764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190B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28F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2FDD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340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179E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37B41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F8E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47B"/>
    <w:rsid w:val="007F652F"/>
    <w:rsid w:val="007F6A04"/>
    <w:rsid w:val="007F7B6A"/>
    <w:rsid w:val="00800129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0C06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101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2F9E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A2B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87D59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48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28F7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49E3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85B18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AD1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800129"/>
  </w:style>
  <w:style w:type="table" w:customStyle="1" w:styleId="61">
    <w:name w:val="Сетка таблицы6"/>
    <w:basedOn w:val="a1"/>
    <w:next w:val="a5"/>
    <w:uiPriority w:val="59"/>
    <w:rsid w:val="008001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800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800129"/>
  </w:style>
  <w:style w:type="table" w:customStyle="1" w:styleId="61">
    <w:name w:val="Сетка таблицы6"/>
    <w:basedOn w:val="a1"/>
    <w:next w:val="a5"/>
    <w:uiPriority w:val="59"/>
    <w:rsid w:val="008001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80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AC3F8-2415-45FC-B13A-305947DB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3093</Words>
  <Characters>20986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</cp:revision>
  <cp:lastPrinted>2024-12-02T07:43:00Z</cp:lastPrinted>
  <dcterms:created xsi:type="dcterms:W3CDTF">2024-12-19T15:40:00Z</dcterms:created>
  <dcterms:modified xsi:type="dcterms:W3CDTF">2024-12-20T13:19:00Z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