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E811AF" w:rsidP="00E52891">
      <w:pPr>
        <w:ind w:right="5102"/>
        <w:jc w:val="both"/>
        <w:rPr>
          <w:sz w:val="28"/>
          <w:szCs w:val="28"/>
        </w:rPr>
      </w:pPr>
      <w:r w:rsidRPr="00E811AF">
        <w:rPr>
          <w:sz w:val="28"/>
          <w:szCs w:val="28"/>
          <w:lang w:eastAsia="zh-CN"/>
        </w:rPr>
        <w:t xml:space="preserve">О корректировке на 2025 год долгосрочных тарифов на тепловую энергию (мощность), поставляемую Обществом с ограниченной ответственностью «Энергоресурс» потребителям, установленных постановлением Государственного комитета Республики Татарстан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по тарифам от 11.11.2020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>№ 222-29/тэ-2020</w:t>
      </w:r>
    </w:p>
    <w:p w:rsidR="00181577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E811AF" w:rsidRPr="00E811AF" w:rsidRDefault="00E811AF" w:rsidP="00E811AF">
      <w:pPr>
        <w:suppressAutoHyphens/>
        <w:jc w:val="center"/>
        <w:rPr>
          <w:sz w:val="28"/>
          <w:szCs w:val="28"/>
          <w:lang w:eastAsia="zh-CN"/>
        </w:rPr>
      </w:pPr>
    </w:p>
    <w:p w:rsidR="00E811AF" w:rsidRPr="00E811AF" w:rsidRDefault="00E811AF" w:rsidP="00E811AF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E811AF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</w:t>
      </w:r>
      <w:r>
        <w:rPr>
          <w:sz w:val="28"/>
          <w:szCs w:val="28"/>
          <w:lang w:eastAsia="zh-CN"/>
        </w:rPr>
        <w:t xml:space="preserve">ам от 13 июня 2013 г. № 760-э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t xml:space="preserve">от 19.12.2024 </w:t>
      </w:r>
      <w:r>
        <w:rPr>
          <w:sz w:val="28"/>
          <w:szCs w:val="28"/>
          <w:lang w:eastAsia="zh-CN"/>
        </w:rPr>
        <w:br/>
        <w:t>№ 36-ПР</w:t>
      </w:r>
      <w:r w:rsidRPr="00E811AF">
        <w:rPr>
          <w:sz w:val="28"/>
          <w:szCs w:val="28"/>
          <w:lang w:eastAsia="zh-CN"/>
        </w:rPr>
        <w:t xml:space="preserve"> и в целях корректировки долгосрочных тарифов на тепловую энергию (мощность) на 2025 год, уточнив плановую необходимую выручку регулируемой организации на 2025 год, Государственный комитет Республики Татарстан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>по тарифам ПОСТАНОВЛЯЕТ:</w:t>
      </w:r>
    </w:p>
    <w:p w:rsidR="00E811AF" w:rsidRPr="00E811AF" w:rsidRDefault="00E811AF" w:rsidP="00E811AF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E811AF">
        <w:rPr>
          <w:sz w:val="28"/>
          <w:szCs w:val="28"/>
          <w:lang w:eastAsia="zh-CN"/>
        </w:rPr>
        <w:t xml:space="preserve">1. Скорректировать тарифы на тепловую энергию (мощность), поставляемую Обществом с ограниченной ответственностью «Энергоресурс» потребителям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на 2025 год, установленные постановлением Государственного комитета Республики Татарстан по тарифам от 11.11.2020 № 222-29/тэ-2020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«Об установлении тарифов на тепловую энергию (мощность), поставляемую Обществом с ограниченной ответственностью «Энергоресурс» потребителям,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t xml:space="preserve">на 2021-2025 годы» (с изменениями, внесенными постановлениями Государственного комитета Республики Татарстан по тарифам от 17.11.2022 </w:t>
      </w:r>
      <w:r>
        <w:rPr>
          <w:sz w:val="28"/>
          <w:szCs w:val="28"/>
          <w:lang w:eastAsia="zh-CN"/>
        </w:rPr>
        <w:br/>
      </w:r>
      <w:r w:rsidRPr="00E811AF">
        <w:rPr>
          <w:sz w:val="28"/>
          <w:szCs w:val="28"/>
          <w:lang w:eastAsia="zh-CN"/>
        </w:rPr>
        <w:lastRenderedPageBreak/>
        <w:t>№ 551-114/тэ-2022, от 12.12.2023 № 534-62/тэ-2023), изложив приложение 1 в новой редакции (прилагается).</w:t>
      </w:r>
    </w:p>
    <w:p w:rsidR="00E811AF" w:rsidRPr="00E811AF" w:rsidRDefault="00E811AF" w:rsidP="00E811AF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E811AF">
        <w:rPr>
          <w:sz w:val="28"/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E811AF" w:rsidRPr="00E811AF" w:rsidRDefault="00E811AF" w:rsidP="00E811AF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E811AF">
        <w:rPr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DB2E2D" w:rsidRDefault="00DB2E2D" w:rsidP="0038215C">
      <w:pPr>
        <w:ind w:firstLine="709"/>
        <w:jc w:val="both"/>
        <w:rPr>
          <w:sz w:val="28"/>
          <w:szCs w:val="28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C1445" w:rsidRPr="001C1445" w:rsidRDefault="001C1445" w:rsidP="001C1445">
      <w:pPr>
        <w:pageBreakBefore/>
        <w:suppressAutoHyphens/>
        <w:autoSpaceDE w:val="0"/>
        <w:ind w:left="5954" w:right="-283"/>
        <w:outlineLvl w:val="0"/>
        <w:rPr>
          <w:lang w:eastAsia="zh-CN"/>
        </w:rPr>
      </w:pPr>
      <w:r w:rsidRPr="001C1445">
        <w:rPr>
          <w:lang w:eastAsia="zh-CN"/>
        </w:rPr>
        <w:lastRenderedPageBreak/>
        <w:t xml:space="preserve">Приложение 1 к постановлению 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Государственного комитета 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Республики Татарстан по тарифам 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от </w:t>
      </w:r>
      <w:r w:rsidRPr="001C1445">
        <w:rPr>
          <w:u w:val="single"/>
          <w:lang w:eastAsia="zh-CN"/>
        </w:rPr>
        <w:t>11.11.2020</w:t>
      </w:r>
      <w:r w:rsidRPr="001C1445">
        <w:rPr>
          <w:lang w:eastAsia="zh-CN"/>
        </w:rPr>
        <w:t xml:space="preserve"> № </w:t>
      </w:r>
      <w:r w:rsidRPr="001C1445">
        <w:rPr>
          <w:u w:val="single"/>
          <w:lang w:eastAsia="zh-CN"/>
        </w:rPr>
        <w:t>222-29/тэ-2020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(в редакции постановления 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Государственного комитета </w:t>
      </w:r>
    </w:p>
    <w:p w:rsidR="001C1445" w:rsidRPr="001C1445" w:rsidRDefault="001C1445" w:rsidP="001C1445">
      <w:pPr>
        <w:suppressAutoHyphens/>
        <w:autoSpaceDE w:val="0"/>
        <w:ind w:left="5954"/>
        <w:outlineLvl w:val="0"/>
        <w:rPr>
          <w:lang w:eastAsia="zh-CN"/>
        </w:rPr>
      </w:pPr>
      <w:r w:rsidRPr="001C1445">
        <w:rPr>
          <w:lang w:eastAsia="zh-CN"/>
        </w:rPr>
        <w:t xml:space="preserve">Республики Татарстан по тарифам </w:t>
      </w:r>
    </w:p>
    <w:p w:rsidR="001C1445" w:rsidRPr="001C1445" w:rsidRDefault="001C1445" w:rsidP="001C1445">
      <w:pPr>
        <w:suppressAutoHyphens/>
        <w:autoSpaceDE w:val="0"/>
        <w:ind w:left="5954" w:right="-398"/>
        <w:outlineLvl w:val="0"/>
        <w:rPr>
          <w:bCs/>
          <w:sz w:val="28"/>
          <w:szCs w:val="28"/>
          <w:lang w:eastAsia="zh-CN"/>
        </w:rPr>
      </w:pPr>
      <w:r w:rsidRPr="001C1445">
        <w:rPr>
          <w:lang w:eastAsia="zh-CN"/>
        </w:rPr>
        <w:t>от ___________ № ___</w:t>
      </w:r>
      <w:r w:rsidR="00B116F6">
        <w:rPr>
          <w:lang w:eastAsia="zh-CN"/>
        </w:rPr>
        <w:t>________</w:t>
      </w:r>
      <w:r w:rsidRPr="001C1445">
        <w:rPr>
          <w:lang w:eastAsia="zh-CN"/>
        </w:rPr>
        <w:t>________)</w:t>
      </w:r>
    </w:p>
    <w:p w:rsidR="001C1445" w:rsidRPr="001C1445" w:rsidRDefault="001C1445" w:rsidP="001C14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1C1445" w:rsidRPr="001C1445" w:rsidRDefault="001C1445" w:rsidP="001C14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1C1445" w:rsidRPr="001C1445" w:rsidRDefault="001C1445" w:rsidP="001C1445">
      <w:pPr>
        <w:suppressAutoHyphens/>
        <w:ind w:right="-398"/>
        <w:jc w:val="center"/>
        <w:rPr>
          <w:bCs/>
          <w:sz w:val="28"/>
          <w:szCs w:val="28"/>
          <w:lang w:eastAsia="zh-CN"/>
        </w:rPr>
      </w:pPr>
      <w:r w:rsidRPr="001C1445">
        <w:rPr>
          <w:bCs/>
          <w:sz w:val="28"/>
          <w:szCs w:val="28"/>
          <w:lang w:eastAsia="zh-CN"/>
        </w:rPr>
        <w:t xml:space="preserve">Тарифы </w:t>
      </w:r>
      <w:r w:rsidRPr="001C1445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1C1445" w:rsidRPr="001C1445" w:rsidRDefault="001C1445" w:rsidP="001C1445">
      <w:pPr>
        <w:suppressAutoHyphens/>
        <w:jc w:val="center"/>
        <w:rPr>
          <w:bCs/>
          <w:sz w:val="28"/>
          <w:szCs w:val="28"/>
          <w:lang w:eastAsia="zh-CN"/>
        </w:rPr>
      </w:pPr>
      <w:r w:rsidRPr="001C1445">
        <w:rPr>
          <w:bCs/>
          <w:sz w:val="28"/>
          <w:szCs w:val="28"/>
          <w:lang w:eastAsia="zh-CN"/>
        </w:rPr>
        <w:t>ООО «Энергоресурс» потребителям, на 2021-2025 годы с календарной разбивкой</w:t>
      </w:r>
    </w:p>
    <w:p w:rsidR="001C1445" w:rsidRPr="001C1445" w:rsidRDefault="001C1445" w:rsidP="001C14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1C1445" w:rsidRPr="001C1445" w:rsidRDefault="001C1445" w:rsidP="001C1445">
      <w:pPr>
        <w:suppressAutoHyphens/>
        <w:jc w:val="center"/>
        <w:rPr>
          <w:bCs/>
          <w:sz w:val="28"/>
          <w:szCs w:val="28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1"/>
        <w:gridCol w:w="1976"/>
        <w:gridCol w:w="1668"/>
        <w:gridCol w:w="1567"/>
        <w:gridCol w:w="930"/>
        <w:gridCol w:w="884"/>
        <w:gridCol w:w="884"/>
        <w:gridCol w:w="884"/>
        <w:gridCol w:w="1178"/>
      </w:tblGrid>
      <w:tr w:rsidR="001C1445" w:rsidRPr="001C1445" w:rsidTr="0043004B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 xml:space="preserve">№ </w:t>
            </w:r>
          </w:p>
          <w:p w:rsidR="001C1445" w:rsidRPr="001C1445" w:rsidRDefault="001C1445" w:rsidP="001C14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п/п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0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вид тарифа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Год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Вода</w:t>
            </w:r>
          </w:p>
        </w:tc>
        <w:tc>
          <w:tcPr>
            <w:tcW w:w="17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Отборный пар давлением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Острый и редуциро-ванный пар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 xml:space="preserve">от 1,2 </w:t>
            </w:r>
          </w:p>
          <w:p w:rsidR="001C1445" w:rsidRPr="001C1445" w:rsidRDefault="001C1445" w:rsidP="001C144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до 2,5 кг/см</w:t>
            </w:r>
            <w:r w:rsidRPr="001C144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от 2,5 до 7,0 кг/см</w:t>
            </w:r>
            <w:r w:rsidRPr="001C144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от 7,0 до 13,0 кг/см</w:t>
            </w:r>
            <w:r w:rsidRPr="001C144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свыше</w:t>
            </w:r>
          </w:p>
          <w:p w:rsidR="001C1445" w:rsidRPr="001C1445" w:rsidRDefault="001C1445" w:rsidP="001C144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13,0 кг/см</w:t>
            </w:r>
            <w:r w:rsidRPr="001C144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rPr>
                <w:lang w:eastAsia="zh-CN"/>
              </w:rPr>
            </w:pPr>
            <w:r w:rsidRPr="001C1445">
              <w:rPr>
                <w:lang w:eastAsia="zh-CN"/>
              </w:rPr>
              <w:t>Пестречинский муниципальный район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both"/>
              <w:rPr>
                <w:lang w:eastAsia="zh-CN"/>
              </w:rPr>
            </w:pPr>
            <w:r w:rsidRPr="001C1445">
              <w:rPr>
                <w:lang w:eastAsia="zh-CN"/>
              </w:rPr>
              <w:t>ООО «Энергоресурс»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1.1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both"/>
              <w:rPr>
                <w:lang w:eastAsia="zh-CN"/>
              </w:rPr>
            </w:pPr>
            <w:r w:rsidRPr="001C1445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44"/>
              <w:rPr>
                <w:lang w:eastAsia="zh-CN"/>
              </w:rPr>
            </w:pPr>
            <w:r w:rsidRPr="001C1445">
              <w:rPr>
                <w:lang w:eastAsia="zh-CN"/>
              </w:rPr>
              <w:t>одноставочный, руб./Гкал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01.01.2021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30.06.2021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1 514,72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01.07.2021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31.12.2021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1 537,14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01.01.2022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30.06.2022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1 537,14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01.07.2022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1 537,14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01.01.2023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1 508,25 &lt;*&gt;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01.01.2024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30.06.2024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 xml:space="preserve">1 508,25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01.07.2024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1 780,93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01.01.2025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30.06.2025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C1445">
              <w:rPr>
                <w:lang w:val="en-US" w:eastAsia="zh-CN"/>
              </w:rPr>
              <w:t>1 780,93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01.07.2025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C1445">
              <w:rPr>
                <w:lang w:val="en-US" w:eastAsia="zh-CN"/>
              </w:rPr>
              <w:t>2044,31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1.2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rPr>
                <w:lang w:eastAsia="zh-CN"/>
              </w:rPr>
            </w:pPr>
            <w:r w:rsidRPr="001C1445">
              <w:rPr>
                <w:lang w:eastAsia="zh-CN"/>
              </w:rPr>
              <w:t>Население (тарифы указаны с учетом НДС)</w:t>
            </w:r>
            <w:r w:rsidRPr="001C1445">
              <w:rPr>
                <w:sz w:val="22"/>
                <w:lang w:eastAsia="zh-CN"/>
              </w:rPr>
              <w:t xml:space="preserve"> </w:t>
            </w:r>
            <w:r w:rsidRPr="001C1445">
              <w:rPr>
                <w:szCs w:val="28"/>
                <w:lang w:eastAsia="zh-CN"/>
              </w:rPr>
              <w:t>&lt;**&gt;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  <w:p w:rsidR="001C1445" w:rsidRPr="001C1445" w:rsidRDefault="001C1445" w:rsidP="001C1445">
            <w:pPr>
              <w:suppressAutoHyphens/>
              <w:ind w:left="44"/>
              <w:rPr>
                <w:lang w:eastAsia="zh-CN"/>
              </w:rPr>
            </w:pPr>
            <w:r w:rsidRPr="001C1445">
              <w:rPr>
                <w:lang w:eastAsia="zh-CN"/>
              </w:rPr>
              <w:t>одноставочный, руб./Гкал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01.01.2021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30.06.2021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1 817,66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01.07.2021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31.12.2021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1 844,57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C1445">
              <w:rPr>
                <w:szCs w:val="28"/>
                <w:lang w:eastAsia="zh-CN"/>
              </w:rPr>
              <w:t>с 01.01.2022</w:t>
            </w:r>
          </w:p>
          <w:p w:rsidR="001C1445" w:rsidRPr="001C1445" w:rsidRDefault="001C1445" w:rsidP="001C1445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C1445">
              <w:rPr>
                <w:szCs w:val="28"/>
                <w:lang w:eastAsia="zh-CN"/>
              </w:rPr>
              <w:t>по 30.06.2022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1 844,57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01.07.2022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1 844,57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01.01.2023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lastRenderedPageBreak/>
              <w:t>по 31.12.2023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lastRenderedPageBreak/>
              <w:t>1 809,90 &lt;*&gt;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01.01.2024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30.06.2024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1 809,90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01.07.2024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2 137,12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01.01.2025</w:t>
            </w:r>
          </w:p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30.06.2025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2 137,12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  <w:tr w:rsidR="001C1445" w:rsidRPr="001C1445" w:rsidTr="0043004B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с 01.07.2025</w:t>
            </w:r>
          </w:p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по 31.12.2025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2 453,17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445" w:rsidRPr="001C1445" w:rsidRDefault="001C1445" w:rsidP="001C1445">
            <w:pPr>
              <w:suppressAutoHyphens/>
              <w:jc w:val="center"/>
              <w:rPr>
                <w:lang w:eastAsia="zh-CN"/>
              </w:rPr>
            </w:pPr>
            <w:r w:rsidRPr="001C1445">
              <w:rPr>
                <w:lang w:eastAsia="zh-CN"/>
              </w:rPr>
              <w:t>-</w:t>
            </w:r>
          </w:p>
        </w:tc>
      </w:tr>
    </w:tbl>
    <w:p w:rsidR="001C1445" w:rsidRPr="001C1445" w:rsidRDefault="001C1445" w:rsidP="001C1445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1C1445" w:rsidRPr="001C1445" w:rsidRDefault="001C1445" w:rsidP="0043004B">
      <w:pPr>
        <w:suppressAutoHyphens/>
        <w:jc w:val="both"/>
        <w:rPr>
          <w:lang w:eastAsia="zh-CN"/>
        </w:rPr>
      </w:pPr>
      <w:r w:rsidRPr="001C1445">
        <w:rPr>
          <w:lang w:eastAsia="zh-CN"/>
        </w:rPr>
        <w:t>&lt;*&gt; Тарифы на 2023 год, скорректированные постановлением Государственного комитета Республики Татарстан по тарифам</w:t>
      </w:r>
      <w:r w:rsidR="0043004B">
        <w:rPr>
          <w:lang w:eastAsia="zh-CN"/>
        </w:rPr>
        <w:t xml:space="preserve"> </w:t>
      </w:r>
      <w:r w:rsidR="0043004B">
        <w:rPr>
          <w:lang w:eastAsia="zh-CN"/>
        </w:rPr>
        <w:t>от 17.11.2022 № 551-114/тэ-2022</w:t>
      </w:r>
      <w:r w:rsidRPr="001C1445">
        <w:rPr>
          <w:lang w:eastAsia="zh-CN"/>
        </w:rPr>
        <w:t xml:space="preserve">, в соответствии </w:t>
      </w:r>
      <w:r w:rsidR="0043004B">
        <w:rPr>
          <w:lang w:eastAsia="zh-CN"/>
        </w:rPr>
        <w:br/>
      </w:r>
      <w:r w:rsidRPr="001C1445">
        <w:rPr>
          <w:lang w:eastAsia="zh-CN"/>
        </w:rPr>
        <w:t xml:space="preserve">с постановлением Правительства Российской Федерации от 14 ноября 2022 г. № 2053 </w:t>
      </w:r>
      <w:r w:rsidR="0043004B">
        <w:rPr>
          <w:lang w:eastAsia="zh-CN"/>
        </w:rPr>
        <w:br/>
      </w:r>
      <w:r w:rsidRPr="001C1445">
        <w:rPr>
          <w:lang w:eastAsia="zh-CN"/>
        </w:rPr>
        <w:t xml:space="preserve">«Об особенностях индексации регулируемых цен (тарифов) с 1 декабря 2022 г. </w:t>
      </w:r>
      <w:r w:rsidR="0043004B">
        <w:rPr>
          <w:lang w:eastAsia="zh-CN"/>
        </w:rPr>
        <w:br/>
      </w:r>
      <w:bookmarkStart w:id="0" w:name="_GoBack"/>
      <w:bookmarkEnd w:id="0"/>
      <w:r w:rsidRPr="001C1445">
        <w:rPr>
          <w:lang w:eastAsia="zh-CN"/>
        </w:rPr>
        <w:t>по 31 декабря 2023 г. и о внесении изменений в некоторые акты Правительства Российской Федерации» введены в действие с 1 декабря 2022 года.</w:t>
      </w:r>
    </w:p>
    <w:p w:rsidR="001C1445" w:rsidRPr="001C1445" w:rsidRDefault="001C1445" w:rsidP="001C1445">
      <w:pPr>
        <w:suppressAutoHyphens/>
        <w:jc w:val="both"/>
        <w:rPr>
          <w:sz w:val="28"/>
          <w:szCs w:val="28"/>
          <w:lang w:eastAsia="zh-CN"/>
        </w:rPr>
      </w:pPr>
      <w:r w:rsidRPr="001C1445">
        <w:rPr>
          <w:lang w:eastAsia="zh-CN"/>
        </w:rPr>
        <w:t>&lt;**&gt;</w:t>
      </w:r>
      <w:r w:rsidRPr="001C1445">
        <w:rPr>
          <w:sz w:val="28"/>
          <w:szCs w:val="28"/>
          <w:lang w:eastAsia="zh-CN"/>
        </w:rPr>
        <w:t xml:space="preserve"> </w:t>
      </w:r>
      <w:r w:rsidRPr="001C1445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1C1445" w:rsidRPr="001C1445" w:rsidRDefault="001C1445" w:rsidP="001C1445">
      <w:pPr>
        <w:suppressAutoHyphens/>
        <w:rPr>
          <w:sz w:val="28"/>
          <w:szCs w:val="28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1"/>
      <w:headerReference w:type="default" r:id="rId12"/>
      <w:headerReference w:type="first" r:id="rId13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04B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04B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Pr="005F4928" w:rsidRDefault="00733F94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004B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8D05"/>
  <w15:docId w15:val="{C95D741F-AEB6-4ACC-8C08-262F553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EC28-83CF-4573-9041-C57FADD6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2024-12-02T07:43:00Z</cp:lastPrinted>
  <dcterms:created xsi:type="dcterms:W3CDTF">2024-12-19T12:47:00Z</dcterms:created>
  <dcterms:modified xsi:type="dcterms:W3CDTF">2024-12-20T07:30:00Z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