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</w:rPr>
      </w:pPr>
      <w:r>
        <w:rPr/>
        <w:t xml:space="preserve">        </w:t>
      </w:r>
      <w:r>
        <w:rPr>
          <w:b/>
        </w:rPr>
        <w:t xml:space="preserve">     </w:t>
      </w:r>
      <w:r>
        <w:rPr>
          <w:b/>
        </w:rPr>
        <w:t>ПОСТАНОВЛЕНИЕ</w:t>
      </w:r>
      <w:r>
        <w:rPr/>
        <w:tab/>
        <w:tab/>
        <w:tab/>
        <w:tab/>
        <w:tab/>
        <w:t xml:space="preserve">       </w:t>
      </w:r>
      <w:r>
        <w:rPr>
          <w:b/>
        </w:rPr>
        <w:t>КАРАР</w:t>
      </w:r>
    </w:p>
    <w:p>
      <w:pPr>
        <w:pStyle w:val="Normal"/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</w:t>
      </w:r>
      <w:r>
        <w:rPr>
          <w:szCs w:val="28"/>
        </w:rPr>
        <w:t>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rPr/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5046"/>
        <w:jc w:val="both"/>
        <w:rPr>
          <w:szCs w:val="28"/>
        </w:rPr>
      </w:pPr>
      <w:r>
        <w:rPr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rFonts w:eastAsia="Calibri"/>
          <w:szCs w:val="28"/>
        </w:rPr>
        <w:t>для Общества с ограниченной ответственностью «Бугульма-</w:t>
      </w:r>
      <w:bookmarkStart w:id="0" w:name="_GoBack"/>
      <w:bookmarkEnd w:id="0"/>
      <w:r>
        <w:rPr>
          <w:rFonts w:eastAsia="Calibri"/>
          <w:szCs w:val="28"/>
        </w:rPr>
        <w:t>Водоканал» Бугульминского муниципального района</w:t>
      </w:r>
      <w:r>
        <w:rPr/>
        <w:t xml:space="preserve"> </w:t>
      </w:r>
      <w:r>
        <w:rPr>
          <w:szCs w:val="28"/>
        </w:rPr>
        <w:t>на 2025 год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от 29 июля 2013 г. № 641 </w:t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18.12.2024 № 35-ПР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 xml:space="preserve">Установить тарифы на питьевую воду и водоотведение </w:t>
      </w:r>
      <w:r>
        <w:rPr>
          <w:rFonts w:eastAsia="Calibri"/>
          <w:szCs w:val="28"/>
        </w:rPr>
        <w:t xml:space="preserve">для Общества </w:t>
        <w:br/>
        <w:t>с ограниченной ответственностью «Бугульма-Водоканал» Бугульминского муниципального района</w:t>
      </w:r>
      <w:r>
        <w:rPr>
          <w:szCs w:val="28"/>
        </w:rPr>
        <w:t xml:space="preserve"> (далее – 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»), осуществляющего холодное водоснабжение и водоотведение, с календарной разбивкой согласно приложению 1 к настоящему постановлению.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>Утвердить производственные программы 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 xml:space="preserve">» </w:t>
        <w:br/>
        <w:t>в сфере водоснабжения и водоотведения согласно приложению 2 к настоящему постановлению.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>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», осуществляющему холодное водоснабжение</w:t>
        <w:br/>
        <w:t>и водоотведение, раскрыть информацию, подлежащую свободному доступу,</w:t>
        <w:br/>
        <w:t>в соответствии со стандартами раскрытия информации в сфере водоснабжения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ab/>
        <w:t xml:space="preserve">        А.С. Груничев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_____________ № ___________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</w:r>
    </w:p>
    <w:p>
      <w:pPr>
        <w:pStyle w:val="Normal"/>
        <w:ind w:right="282"/>
        <w:jc w:val="center"/>
        <w:rPr>
          <w:bCs/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  <w:t xml:space="preserve">Тарифы на питьевую воду и водоотведение для </w:t>
      </w:r>
      <w:r>
        <w:rPr>
          <w:szCs w:val="28"/>
        </w:rPr>
        <w:t>ООО «</w:t>
      </w:r>
      <w:r>
        <w:rPr>
          <w:rFonts w:eastAsia="Calibri"/>
          <w:szCs w:val="28"/>
        </w:rPr>
        <w:t>Бугульма-Водоканал</w:t>
      </w:r>
      <w:r>
        <w:rPr>
          <w:szCs w:val="28"/>
        </w:rPr>
        <w:t>»</w:t>
      </w:r>
      <w:r>
        <w:rPr>
          <w:bCs/>
          <w:color w:themeColor="text1" w:val="000000"/>
          <w:szCs w:val="28"/>
        </w:rPr>
        <w:t>,</w:t>
      </w:r>
    </w:p>
    <w:p>
      <w:pPr>
        <w:pStyle w:val="Normal"/>
        <w:ind w:right="282"/>
        <w:jc w:val="center"/>
        <w:rPr>
          <w:bCs/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  <w:t>осуществляющего холодное водоснабжение и водоотведение, на 2025 год с календарной разбивкой</w:t>
      </w:r>
    </w:p>
    <w:p>
      <w:pPr>
        <w:pStyle w:val="Normal"/>
        <w:ind w:right="282"/>
        <w:jc w:val="center"/>
        <w:rPr>
          <w:bCs/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</w:r>
    </w:p>
    <w:p>
      <w:pPr>
        <w:pStyle w:val="Normal"/>
        <w:ind w:right="282"/>
        <w:jc w:val="center"/>
        <w:rPr>
          <w:bCs/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</w:r>
    </w:p>
    <w:tbl>
      <w:tblPr>
        <w:tblW w:w="152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40"/>
        <w:gridCol w:w="7750"/>
        <w:gridCol w:w="1842"/>
        <w:gridCol w:w="1702"/>
        <w:gridCol w:w="1773"/>
        <w:gridCol w:w="1666"/>
      </w:tblGrid>
      <w:tr>
        <w:trPr>
          <w:tblHeader w:val="true"/>
          <w:trHeight w:val="98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</w:t>
            </w:r>
          </w:p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питьевую воду</w:t>
            </w:r>
          </w:p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(одноставочный),</w:t>
            </w:r>
          </w:p>
          <w:p>
            <w:pPr>
              <w:pStyle w:val="Normal"/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руб./куб.м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</w:t>
            </w:r>
          </w:p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(одноставочный),</w:t>
            </w:r>
          </w:p>
          <w:p>
            <w:pPr>
              <w:pStyle w:val="Normal"/>
              <w:ind w:left="32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руб./куб.м</w:t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30.06.2025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30.06.2025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>
            <w:pPr>
              <w:pStyle w:val="Normal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«Бугульма-Водоканал»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32,74</w:t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потребители (тарифы  указаны без учета НДС)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</w:t>
            </w:r>
          </w:p>
        </w:tc>
      </w:tr>
    </w:tbl>
    <w:p>
      <w:pPr>
        <w:pStyle w:val="Normal"/>
        <w:ind w:right="140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>
      <w:pPr>
        <w:pStyle w:val="Normal"/>
        <w:ind w:right="14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567" w:gutter="0" w:header="720" w:top="1134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2"/>
          <w:szCs w:val="24"/>
        </w:rPr>
        <w:t xml:space="preserve"> </w:t>
      </w:r>
      <w:r>
        <w:br w:type="page"/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spacing w:before="0" w:after="0"/>
        <w:ind w:left="11340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134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134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_____________ № ___________</w:t>
      </w:r>
    </w:p>
    <w:p>
      <w:pPr>
        <w:pStyle w:val="Normal"/>
        <w:numPr>
          <w:ilvl w:val="0"/>
          <w:numId w:val="0"/>
        </w:numPr>
        <w:outlineLvl w:val="0"/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6"/>
        <w:gridCol w:w="4185"/>
        <w:gridCol w:w="2098"/>
        <w:gridCol w:w="398"/>
        <w:gridCol w:w="1162"/>
        <w:gridCol w:w="2365"/>
        <w:gridCol w:w="2233"/>
        <w:gridCol w:w="2287"/>
      </w:tblGrid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ООО «Бугульма-Водоканал»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423230, РТ, г.Бугульма,у л.Ворошилова, д.10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20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7 758,35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4 820,89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20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8 735,05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7 482,11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7 345,35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1 095,00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6 250,35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3,98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6 246,37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4 513,01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192,44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1 540,92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20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207 837,91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41 273,10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35 346,53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36 004,66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2 009,97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866,36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5 109,36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2 009,97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1 180,00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285 994,79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</w:rPr>
              <w:t>Ремонт основного оборудования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2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20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14,91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2,028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2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567" w:right="567" w:gutter="0" w:header="720" w:top="1134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outlineLvl w:val="0"/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6"/>
        <w:gridCol w:w="4185"/>
        <w:gridCol w:w="2098"/>
        <w:gridCol w:w="398"/>
        <w:gridCol w:w="1162"/>
        <w:gridCol w:w="2286"/>
        <w:gridCol w:w="79"/>
        <w:gridCol w:w="2239"/>
        <w:gridCol w:w="2281"/>
      </w:tblGrid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ООО «Бугульма-Водоканал»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423230, РТ, г.Бугульма,у л.Ворошилова, д.10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>
        <w:trPr>
          <w:trHeight w:val="284" w:hRule="atLeast"/>
        </w:trPr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12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2 794,28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1 329,65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12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4 584,95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3,98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4 580,98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279,57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3 430,48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870,93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5 268,64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5 268,64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12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77 071,50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18 681,75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23 708,35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15 430,57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871,43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176,11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2 449,24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114 808,71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 основного оборудования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0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12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0,682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2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284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284" w:hRule="atLeast"/>
        </w:trPr>
        <w:tc>
          <w:tcPr>
            <w:tcW w:w="15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>
        <w:trPr>
          <w:trHeight w:val="284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szCs w:val="28"/>
        </w:rPr>
      </w:pPr>
      <w:r>
        <w:rPr>
          <w:szCs w:val="28"/>
        </w:rPr>
      </w:r>
    </w:p>
    <w:sectPr>
      <w:headerReference w:type="default" r:id="rId8"/>
      <w:headerReference w:type="first" r:id="rId9"/>
      <w:type w:val="nextPage"/>
      <w:pgSz w:orient="landscape" w:w="16838" w:h="11906"/>
      <w:pgMar w:left="567" w:right="567" w:gutter="0" w:header="72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08080571"/>
    </w:sdtPr>
    <w:sdtContent>
      <w:p>
        <w:pPr>
          <w:pStyle w:val="Header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08080571"/>
    </w:sdtPr>
    <w:sdtContent>
      <w:p>
        <w:pPr>
          <w:pStyle w:val="Header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szCs w:val="28"/>
          </w:rPr>
          <w:t>3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08080571"/>
    </w:sdtPr>
    <w:sdtContent>
      <w:p>
        <w:pPr>
          <w:pStyle w:val="Header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szCs w:val="28"/>
          </w:rPr>
          <w:t>9</w:t>
        </w:r>
        <w:r>
          <w:rPr>
            <w:szCs w:val="28"/>
          </w:rPr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08080571"/>
    </w:sdtPr>
    <w:sdtContent>
      <w:p>
        <w:pPr>
          <w:pStyle w:val="Header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szCs w:val="28"/>
          </w:rPr>
          <w:t>0</w:t>
        </w:r>
        <w:r>
          <w:rPr>
            <w:szCs w:val="28"/>
          </w:rPr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1b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a17676"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link w:val="2"/>
    <w:qFormat/>
    <w:rsid w:val="00a17676"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link w:val="31"/>
    <w:qFormat/>
    <w:rsid w:val="00a17676"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link w:val="4"/>
    <w:qFormat/>
    <w:rsid w:val="00a17676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link w:val="5"/>
    <w:qFormat/>
    <w:rsid w:val="00a17676"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link w:val="6"/>
    <w:qFormat/>
    <w:rsid w:val="00a17676"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7"/>
    <w:qFormat/>
    <w:rsid w:val="00a17676"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link w:val="8"/>
    <w:qFormat/>
    <w:rsid w:val="00a17676"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link w:val="9"/>
    <w:qFormat/>
    <w:rsid w:val="00a17676"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11a39"/>
    <w:rPr>
      <w:b/>
      <w:bCs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a8418b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9928e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f556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7" w:customStyle="1">
    <w:name w:val="Нижний колонтитул Знак"/>
    <w:basedOn w:val="DefaultParagraphFont"/>
    <w:qFormat/>
    <w:rsid w:val="002f556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a17676"/>
    <w:rPr>
      <w:rFonts w:ascii="Times New Roman" w:hAnsi="Times New Roman" w:eastAsia="Times New Roman" w:cs="Times New Roman"/>
      <w:caps/>
      <w:sz w:val="32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 w:val="34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17676"/>
    <w:rPr>
      <w:rFonts w:ascii="Times New Roman" w:hAnsi="Times New Roman" w:eastAsia="Times New Roman" w:cs="Times New Roman"/>
      <w:caps/>
      <w:sz w:val="36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 w:val="36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Cs w:val="20"/>
      <w:lang w:eastAsia="ru-RU"/>
    </w:rPr>
  </w:style>
  <w:style w:type="character" w:styleId="Style8" w:customStyle="1">
    <w:name w:val="Основной текст Знак"/>
    <w:basedOn w:val="DefaultParagraphFont"/>
    <w:qFormat/>
    <w:rsid w:val="00a17676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21" w:customStyle="1">
    <w:name w:val="Основной текст 2 Знак"/>
    <w:basedOn w:val="DefaultParagraphFont"/>
    <w:link w:val="BodyText2"/>
    <w:qFormat/>
    <w:rsid w:val="00a17676"/>
    <w:rPr>
      <w:rFonts w:ascii="Times New Roman" w:hAnsi="Times New Roman" w:eastAsia="Times New Roman" w:cs="Times New Roman"/>
      <w:b/>
      <w:caps/>
      <w:sz w:val="28"/>
      <w:szCs w:val="20"/>
      <w:lang w:eastAsia="ru-RU"/>
    </w:rPr>
  </w:style>
  <w:style w:type="character" w:styleId="Hyperlink">
    <w:name w:val="Hyperlink"/>
    <w:basedOn w:val="DefaultParagraphFont"/>
    <w:rsid w:val="00a17676"/>
    <w:rPr>
      <w:color w:val="0000FF"/>
      <w:u w:val="single"/>
    </w:rPr>
  </w:style>
  <w:style w:type="character" w:styleId="Emphasis">
    <w:name w:val="Emphasis"/>
    <w:basedOn w:val="DefaultParagraphFont"/>
    <w:qFormat/>
    <w:rsid w:val="00a17676"/>
    <w:rPr>
      <w:i/>
      <w:iCs/>
    </w:rPr>
  </w:style>
  <w:style w:type="character" w:styleId="Style9" w:customStyle="1">
    <w:name w:val="Основной текст с отступом Знак"/>
    <w:basedOn w:val="DefaultParagraphFont"/>
    <w:qFormat/>
    <w:rsid w:val="00a176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a17676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8"/>
    <w:rsid w:val="00a17676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8418b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5"/>
    <w:semiHidden/>
    <w:unhideWhenUsed/>
    <w:qFormat/>
    <w:rsid w:val="00a8418b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9928e9"/>
    <w:pPr>
      <w:spacing w:before="0" w:after="120"/>
    </w:pPr>
    <w:rPr>
      <w:sz w:val="16"/>
      <w:szCs w:val="16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f55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nhideWhenUsed/>
    <w:rsid w:val="002f55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1"/>
    <w:qFormat/>
    <w:rsid w:val="00a17676"/>
    <w:pPr>
      <w:jc w:val="center"/>
    </w:pPr>
    <w:rPr>
      <w:b/>
      <w:caps/>
    </w:rPr>
  </w:style>
  <w:style w:type="paragraph" w:styleId="ConsPlusNormal" w:customStyle="1">
    <w:name w:val="ConsPlusNormal"/>
    <w:qFormat/>
    <w:rsid w:val="00a17676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odyTextIndent">
    <w:name w:val="Body Text Indent"/>
    <w:basedOn w:val="Normal"/>
    <w:link w:val="Style9"/>
    <w:rsid w:val="00a17676"/>
    <w:pPr>
      <w:spacing w:before="0" w:after="120"/>
      <w:ind w:left="283"/>
    </w:pPr>
    <w:rPr>
      <w:sz w:val="24"/>
      <w:szCs w:val="24"/>
    </w:rPr>
  </w:style>
  <w:style w:type="paragraph" w:styleId="ConsNormal" w:customStyle="1">
    <w:name w:val="ConsNormal"/>
    <w:qFormat/>
    <w:rsid w:val="00a17676"/>
    <w:pPr>
      <w:widowControl w:val="fals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a1767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4" w:customStyle="1">
    <w:name w:val="Обычный + 14 пт"/>
    <w:basedOn w:val="Normal"/>
    <w:qFormat/>
    <w:rsid w:val="00a17676"/>
    <w:pPr>
      <w:jc w:val="center"/>
    </w:pPr>
    <w:rPr>
      <w:b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a17676"/>
  </w:style>
  <w:style w:type="numbering" w:styleId="111" w:customStyle="1">
    <w:name w:val="Нет списка11"/>
    <w:semiHidden/>
    <w:unhideWhenUsed/>
    <w:qFormat/>
    <w:rsid w:val="00a17676"/>
  </w:style>
  <w:style w:type="numbering" w:styleId="22" w:customStyle="1">
    <w:name w:val="Нет списка2"/>
    <w:uiPriority w:val="99"/>
    <w:semiHidden/>
    <w:unhideWhenUsed/>
    <w:qFormat/>
    <w:rsid w:val="00401490"/>
  </w:style>
  <w:style w:type="numbering" w:styleId="12" w:customStyle="1">
    <w:name w:val="Нет списка12"/>
    <w:semiHidden/>
    <w:unhideWhenUsed/>
    <w:qFormat/>
    <w:rsid w:val="0040149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184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uiPriority w:val="59"/>
    <w:rsid w:val="0030414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uiPriority w:val="59"/>
    <w:rsid w:val="00a17676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">
    <w:name w:val="Сетка таблицы11"/>
    <w:basedOn w:val="a1"/>
    <w:rsid w:val="00a1767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Сетка таблицы3"/>
    <w:basedOn w:val="a1"/>
    <w:uiPriority w:val="59"/>
    <w:rsid w:val="00a17676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a17676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40149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">
    <w:name w:val="Сетка таблицы12"/>
    <w:basedOn w:val="a1"/>
    <w:rsid w:val="00401490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uiPriority w:val="59"/>
    <w:rsid w:val="0040149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uiPriority w:val="59"/>
    <w:rsid w:val="0040149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0">
    <w:name w:val="Сетка таблицы41"/>
    <w:basedOn w:val="a1"/>
    <w:uiPriority w:val="59"/>
    <w:rsid w:val="00401490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C531-00DB-49D5-9ADD-CF9FA006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LibreOffice/7.6.7.2$Linux_X86_64 LibreOffice_project/60$Build-2</Application>
  <AppVersion>15.0000</AppVersion>
  <Pages>9</Pages>
  <Words>1951</Words>
  <Characters>13744</Characters>
  <CharactersWithSpaces>15310</CharactersWithSpaces>
  <Paragraphs>513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2024-11-13T10:34:00Z</dcterms:created>
  <dc:creator>Глухарева Светлана Юрьевна</dc:creator>
  <dc:description/>
  <dc:language>ru-RU</dc:language>
  <cp:lastModifiedBy/>
  <cp:lastPrinted>2023-05-25T13:36:00Z</cp:lastPrinted>
  <dcterms:modified xsi:type="dcterms:W3CDTF">2024-12-18T21:45:29Z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