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52"/>
        <w:gridCol w:w="1201"/>
        <w:gridCol w:w="4352"/>
      </w:tblGrid>
      <w:tr>
        <w:trPr>
          <w:trHeight w:val="568" w:hRule="atLeast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201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>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</w:t>
            </w:r>
            <w:r>
              <w:rPr>
                <w:caps/>
                <w:sz w:val="28"/>
                <w:szCs w:val="28"/>
              </w:rPr>
              <w:t>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 xml:space="preserve">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rPr>
          <w:b/>
          <w:sz w:val="28"/>
        </w:rPr>
      </w:pPr>
      <w:r>
        <w:rPr>
          <w:sz w:val="28"/>
        </w:rPr>
        <w:t xml:space="preserve">        </w:t>
      </w:r>
      <w:r>
        <w:rPr>
          <w:b/>
          <w:sz w:val="28"/>
        </w:rPr>
        <w:t xml:space="preserve">     </w:t>
      </w:r>
      <w:r>
        <w:rPr>
          <w:b/>
          <w:sz w:val="28"/>
        </w:rPr>
        <w:t>ПОСТАНОВЛЕНИЕ</w:t>
      </w:r>
      <w:r>
        <w:rPr>
          <w:sz w:val="28"/>
        </w:rPr>
        <w:tab/>
        <w:tab/>
        <w:tab/>
        <w:tab/>
        <w:tab/>
        <w:t xml:space="preserve">       </w:t>
      </w:r>
      <w:r>
        <w:rPr>
          <w:b/>
          <w:sz w:val="28"/>
        </w:rPr>
        <w:t>КАРАР</w:t>
      </w:r>
    </w:p>
    <w:p>
      <w:pPr>
        <w:pStyle w:val="Normal"/>
        <w:rPr>
          <w:sz w:val="20"/>
        </w:rPr>
      </w:pPr>
      <w:r>
        <w:rPr>
          <w:b/>
          <w:sz w:val="28"/>
        </w:rPr>
        <w:t xml:space="preserve">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___________</w:t>
      </w:r>
      <w:r>
        <w:rPr>
          <w:b/>
          <w:sz w:val="28"/>
        </w:rPr>
        <w:t xml:space="preserve">                        </w:t>
      </w:r>
      <w:r>
        <w:rPr>
          <w:sz w:val="28"/>
          <w:szCs w:val="28"/>
        </w:rPr>
        <w:t>г.Казань</w:t>
      </w:r>
      <w:r>
        <w:rPr>
          <w:b/>
          <w:sz w:val="28"/>
        </w:rPr>
        <w:t xml:space="preserve">                    </w:t>
      </w:r>
      <w:r>
        <w:rPr>
          <w:sz w:val="28"/>
        </w:rPr>
        <w:t>№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______________</w:t>
      </w:r>
    </w:p>
    <w:p>
      <w:pPr>
        <w:pStyle w:val="Normal"/>
        <w:spacing w:lineRule="atLeast" w:line="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5102"/>
        <w:jc w:val="both"/>
        <w:rPr>
          <w:spacing w:val="-4"/>
          <w:sz w:val="28"/>
          <w:szCs w:val="28"/>
          <w:lang w:bidi="ru-RU"/>
        </w:rPr>
      </w:pPr>
      <w:r>
        <w:rPr>
          <w:spacing w:val="-4"/>
          <w:sz w:val="28"/>
          <w:szCs w:val="28"/>
        </w:rPr>
        <w:t>О корректировке на 202</w:t>
      </w:r>
      <w:r>
        <w:rPr>
          <w:spacing w:val="-4"/>
          <w:sz w:val="28"/>
          <w:szCs w:val="28"/>
          <w:lang w:bidi="ru-RU"/>
        </w:rPr>
        <w:t>5</w:t>
      </w:r>
      <w:r>
        <w:rPr>
          <w:spacing w:val="-4"/>
          <w:sz w:val="28"/>
          <w:szCs w:val="28"/>
        </w:rPr>
        <w:t xml:space="preserve"> год долгосрочных предельных тарифов на захоронение твердых коммунальных отходов </w:t>
        <w:br/>
        <w:t>для Общества с ограниченной ответственностью «Управляющая компания «Предприятие жилищно-коммунального хозяйства»,</w:t>
      </w:r>
      <w:r>
        <w:rPr>
          <w:spacing w:val="-4"/>
          <w:sz w:val="28"/>
          <w:szCs w:val="28"/>
          <w:lang w:bidi="ru-RU"/>
        </w:rPr>
        <w:t xml:space="preserve"> </w:t>
      </w:r>
      <w:r>
        <w:rPr>
          <w:spacing w:val="-4"/>
          <w:sz w:val="28"/>
          <w:szCs w:val="28"/>
        </w:rPr>
        <w:t xml:space="preserve">установленных постановлением Государственного комитета Республики Татарстан </w:t>
        <w:br/>
        <w:t xml:space="preserve">по тарифам от </w:t>
      </w:r>
      <w:r>
        <w:rPr>
          <w:spacing w:val="-4"/>
          <w:sz w:val="28"/>
          <w:szCs w:val="28"/>
          <w:lang w:bidi="ru-RU"/>
        </w:rPr>
        <w:t>18.12.2020</w:t>
      </w:r>
      <w:r>
        <w:rPr>
          <w:spacing w:val="-4"/>
          <w:sz w:val="28"/>
          <w:szCs w:val="28"/>
        </w:rPr>
        <w:t xml:space="preserve"> </w:t>
        <w:br/>
        <w:t xml:space="preserve">№ </w:t>
      </w:r>
      <w:r>
        <w:rPr>
          <w:spacing w:val="-4"/>
          <w:sz w:val="28"/>
          <w:szCs w:val="28"/>
          <w:lang w:bidi="ru-RU"/>
        </w:rPr>
        <w:t xml:space="preserve">576-34/тко-2020, и внесении изменений в постановление Государственного комитета Республики Татарстан </w:t>
        <w:br/>
        <w:t xml:space="preserve">по тарифам </w:t>
      </w:r>
      <w:r>
        <w:rPr>
          <w:spacing w:val="-4"/>
          <w:sz w:val="28"/>
          <w:szCs w:val="28"/>
        </w:rPr>
        <w:t xml:space="preserve">от </w:t>
      </w:r>
      <w:r>
        <w:rPr>
          <w:spacing w:val="-4"/>
          <w:sz w:val="28"/>
          <w:szCs w:val="28"/>
          <w:lang w:bidi="ru-RU"/>
        </w:rPr>
        <w:t>18.12.2020</w:t>
      </w:r>
      <w:r>
        <w:rPr>
          <w:spacing w:val="-4"/>
          <w:sz w:val="28"/>
          <w:szCs w:val="28"/>
        </w:rPr>
        <w:t xml:space="preserve"> </w:t>
        <w:br/>
        <w:t xml:space="preserve">№ </w:t>
      </w:r>
      <w:r>
        <w:rPr>
          <w:spacing w:val="-4"/>
          <w:sz w:val="28"/>
          <w:szCs w:val="28"/>
          <w:lang w:bidi="ru-RU"/>
        </w:rPr>
        <w:t>576-34/тко-2020</w:t>
      </w:r>
    </w:p>
    <w:p>
      <w:pPr>
        <w:pStyle w:val="Normal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24 июня 1998 года № 89-ФЗ </w:t>
        <w:br/>
        <w:t xml:space="preserve">«Об отходах производства и потребления», постановлениями Правительства Российской Федерации от 16 мая 2016 г. № 424 «Об утверждении порядка </w:t>
        <w:br/>
        <w:t xml:space="preserve">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</w:t>
        <w:br/>
        <w:t xml:space="preserve">и производственных программ», от 30 мая 2016 г. № 484 «О ценообразовании </w:t>
        <w:br/>
        <w:t xml:space="preserve">в области обращения с твердыми коммунальными отходами», приказом Федеральной антимонопольной службы от 21 ноября 2016 г. № 1638/16 </w:t>
        <w:br/>
        <w:t xml:space="preserve">«Об утверждении Методических указаний по расчету регулируемых тарифов </w:t>
        <w:br/>
        <w:t xml:space="preserve">в области обращения с твердыми коммунальными отходами», Положением </w:t>
        <w:br/>
        <w:t>о Государственном комитете Республики Татарстан по тарифам, утвержденным постановлением Кабинета Министров Республики Татарстан от 15.06.2010 № 468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протоколом заседания Правления Государственного комитета Республики Татарстан по тарифам от 13.12.2024 № 32-ПР, </w:t>
      </w:r>
      <w:r>
        <w:rPr>
          <w:sz w:val="28"/>
        </w:rPr>
        <w:t xml:space="preserve">в целях корректировки долгосрочных предельных тарифов на захоронение твердых коммунальных отходов </w:t>
        <w:br/>
        <w:t>и необходимой валовой выручки регулируемой организации на 2025 год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</w:rPr>
        <w:t>1. Скорректировать</w:t>
      </w:r>
      <w:r>
        <w:rPr/>
        <w:t xml:space="preserve">  </w:t>
      </w:r>
      <w:r>
        <w:rPr>
          <w:sz w:val="28"/>
        </w:rPr>
        <w:t xml:space="preserve">предельные тарифы на захоронение твердых коммунальных отходов для </w:t>
      </w:r>
      <w:r>
        <w:rPr>
          <w:sz w:val="28"/>
          <w:szCs w:val="28"/>
        </w:rPr>
        <w:t xml:space="preserve">Общества с ограниченной ответственностью «Управляющая компания «Предприятие жилищно-коммунального хозяйства» </w:t>
        <w:br/>
        <w:t>на 2025 год</w:t>
      </w:r>
      <w:r>
        <w:rPr>
          <w:sz w:val="28"/>
        </w:rPr>
        <w:t xml:space="preserve">, установленные постановлением Государственного комитета Республики Татарстан по тарифам от </w:t>
      </w:r>
      <w:r>
        <w:rPr>
          <w:sz w:val="28"/>
          <w:szCs w:val="28"/>
          <w:lang w:bidi="ru-RU"/>
        </w:rPr>
        <w:t>18.12.2020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bidi="ru-RU"/>
        </w:rPr>
        <w:t xml:space="preserve">576-34/тко-2020 </w:t>
        <w:br/>
        <w:t>«Об установлении предельных тарифов на захоронение твердых коммунальных отходов для Общества с ограниченной ответственностью «Управляющая компания «Предприятие жилищно-коммунального хозяйства»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(с изменениями, внесенными постановлениями Государственного комитета Республики Татарстан </w:t>
        <w:br/>
        <w:t>по тарифам от 16.11.2022 № 523-32/тко-2022, от 15.12.2023 № 716-41/тко-2023)</w:t>
      </w:r>
      <w:r>
        <w:rPr>
          <w:sz w:val="28"/>
        </w:rPr>
        <w:t>, изложив приложение 1 в новой редакции (прилагается).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>2. Тарифы, скорректированные пунктом 1 настоящего постановления, действуют с 1 января 2025 года по 31 декабря 2025 года.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 xml:space="preserve">3. Внести в постановление Государственного комитета Республики Татарстан по тарифам от </w:t>
      </w:r>
      <w:r>
        <w:rPr>
          <w:sz w:val="28"/>
          <w:szCs w:val="28"/>
          <w:lang w:bidi="ru-RU"/>
        </w:rPr>
        <w:t>18.12.2020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bidi="ru-RU"/>
        </w:rPr>
        <w:t>576-34/тко-2020</w:t>
      </w:r>
      <w:r>
        <w:rPr>
          <w:sz w:val="28"/>
        </w:rPr>
        <w:t xml:space="preserve"> следующие изменения: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 xml:space="preserve">наименование изложить в следующей редакции: 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 xml:space="preserve">«Об установлении предельных тарифов на захоронение твердых коммунальных отходов для </w:t>
      </w:r>
      <w:r>
        <w:rPr>
          <w:sz w:val="28"/>
          <w:szCs w:val="28"/>
        </w:rPr>
        <w:t xml:space="preserve">Общества с ограниченной ответственностью </w:t>
        <w:br/>
        <w:t>«Управляющая компания «Предприятие жилищно-коммунального хозяйства»</w:t>
      </w:r>
      <w:r>
        <w:rPr>
          <w:sz w:val="28"/>
        </w:rPr>
        <w:t xml:space="preserve"> </w:t>
        <w:br/>
        <w:t>на 2021 – 2025 годы и утверждении производственной программы»;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 xml:space="preserve">в преамбуле слова «постановлением Правительства Российской Федерации </w:t>
        <w:br/>
        <w:t xml:space="preserve">от 30 мая 2016 г. № 484 «О ценообразовании в области обращения с твердыми коммунальными отходами» заменить словами «постановлениями Правительства Российской Федерации 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</w:t>
        <w:br/>
        <w:t xml:space="preserve">и производственных программ», от 30 мая 2016 г. № 484 «О ценообразовании </w:t>
        <w:br/>
        <w:t>в области обращения с твердыми коммунальными отходами»;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>дополнить пунктами 3.1-3.2 следующего содержания: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 xml:space="preserve">«3.1. Утвердить производственную программу </w:t>
      </w:r>
      <w:r>
        <w:rPr>
          <w:sz w:val="28"/>
          <w:szCs w:val="28"/>
        </w:rPr>
        <w:t>Общества с ограниченной ответственностью «Управляющая компания «Предприятие жилищно-</w:t>
        <w:br/>
        <w:t xml:space="preserve">коммунального хозяйства» в области обращения с твердыми коммунальными отходами </w:t>
      </w:r>
      <w:r>
        <w:rPr>
          <w:sz w:val="28"/>
        </w:rPr>
        <w:t>согласно приложению 3 к настоящему постановлению.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>3.2. Производственная программа, утвержденная пунктом 3.1 настоящего постановления, действует с 1 января 2025 года по 31 декабря 2025 года.»;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>дополнить приложением 3 (прилагается).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>4. Настоящее постановление вступает в силу по истечении 10 дней после дня его официального опубликования.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567" w:gutter="0" w:header="709" w:top="1134" w:footer="0" w:bottom="1134"/>
          <w:pgNumType w:fmt="decimal"/>
          <w:formProt w:val="false"/>
          <w:titlePg/>
          <w:textDirection w:val="lrTb"/>
          <w:docGrid w:type="default" w:linePitch="326" w:charSpace="0"/>
        </w:sectPr>
        <w:pStyle w:val="Normal"/>
        <w:jc w:val="both"/>
        <w:rPr>
          <w:sz w:val="28"/>
        </w:rPr>
      </w:pPr>
      <w:bookmarkStart w:id="0" w:name="_GoBack"/>
      <w:bookmarkEnd w:id="0"/>
      <w:r>
        <w:rPr>
          <w:sz w:val="28"/>
        </w:rPr>
        <w:t>Председатель                                                                                                 А.С. Груничев</w:t>
      </w:r>
      <w:r>
        <w:br w:type="page"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946" w:leader="none"/>
        </w:tabs>
        <w:ind w:firstLine="10915"/>
        <w:outlineLvl w:val="0"/>
        <w:rPr/>
      </w:pPr>
      <w:r>
        <w:rPr/>
        <w:t>Приложение 1 к постановлению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663" w:leader="none"/>
          <w:tab w:val="left" w:pos="6946" w:leader="none"/>
        </w:tabs>
        <w:ind w:left="10915"/>
        <w:outlineLvl w:val="0"/>
        <w:rPr/>
      </w:pPr>
      <w:r>
        <w:rPr/>
        <w:t xml:space="preserve">Государственного комитета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663" w:leader="none"/>
          <w:tab w:val="left" w:pos="6946" w:leader="none"/>
        </w:tabs>
        <w:ind w:left="10915"/>
        <w:outlineLvl w:val="0"/>
        <w:rPr/>
      </w:pPr>
      <w:r>
        <w:rPr/>
        <w:t>Республики Татарстан по тарифам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915"/>
        <w:rPr/>
      </w:pPr>
      <w:r>
        <w:rPr/>
        <w:t xml:space="preserve">от </w:t>
      </w:r>
      <w:r>
        <w:rPr>
          <w:u w:val="single"/>
        </w:rPr>
        <w:t>18.12.2020</w:t>
      </w:r>
      <w:r>
        <w:rPr/>
        <w:t xml:space="preserve"> № </w:t>
      </w:r>
      <w:r>
        <w:rPr>
          <w:u w:val="single"/>
        </w:rPr>
        <w:t>576-34/тко-2020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915"/>
        <w:rPr/>
      </w:pPr>
      <w:r>
        <w:rPr/>
        <w:t xml:space="preserve">(в редакции постановления Государственного комитета 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915"/>
        <w:rPr/>
      </w:pPr>
      <w:r>
        <w:rPr/>
        <w:t xml:space="preserve">Республики Татарстан по тарифам 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915" w:right="-172"/>
        <w:rPr/>
      </w:pPr>
      <w:r>
        <w:rPr/>
        <w:t xml:space="preserve">от </w:t>
      </w:r>
      <w:r>
        <w:rPr>
          <w:szCs w:val="24"/>
        </w:rPr>
        <w:t>____________</w:t>
      </w:r>
      <w:r>
        <w:rPr/>
        <w:t xml:space="preserve">№ ___________________)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>
        <w:rPr>
          <w:sz w:val="28"/>
          <w:szCs w:val="28"/>
        </w:rPr>
        <w:t>Общества с ограниченной ответственностью «Управляющая компания «Предприятие жилищно-коммунального хозяйства»</w:t>
      </w:r>
      <w:r>
        <w:rPr>
          <w:sz w:val="28"/>
        </w:rPr>
        <w:t xml:space="preserve"> на 20</w:t>
      </w:r>
      <w:r>
        <w:rPr>
          <w:sz w:val="28"/>
          <w:lang w:bidi="ru-RU"/>
        </w:rPr>
        <w:t>21</w:t>
      </w:r>
      <w:r>
        <w:rPr>
          <w:sz w:val="28"/>
        </w:rPr>
        <w:t>–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годы с календарной разбивкой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53"/>
        <w:gridCol w:w="5613"/>
        <w:gridCol w:w="942"/>
        <w:gridCol w:w="841"/>
        <w:gridCol w:w="960"/>
        <w:gridCol w:w="851"/>
        <w:gridCol w:w="1244"/>
        <w:gridCol w:w="1023"/>
        <w:gridCol w:w="990"/>
        <w:gridCol w:w="990"/>
        <w:gridCol w:w="1128"/>
      </w:tblGrid>
      <w:tr>
        <w:trPr>
          <w:tblHeader w:val="true"/>
          <w:trHeight w:val="548" w:hRule="atLeast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32" w:right="6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1 год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32" w:right="6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 год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32" w:right="6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32" w:right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32" w:right="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</w:tr>
      <w:tr>
        <w:trPr>
          <w:tblHeader w:val="true"/>
          <w:trHeight w:val="556" w:hRule="atLeast"/>
        </w:trPr>
        <w:tc>
          <w:tcPr>
            <w:tcW w:w="5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 января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 июля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 января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 июля</w:t>
            </w:r>
          </w:p>
        </w:tc>
        <w:tc>
          <w:tcPr>
            <w:tcW w:w="12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 января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 июля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 января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июля</w:t>
            </w:r>
          </w:p>
        </w:tc>
      </w:tr>
      <w:tr>
        <w:trPr>
          <w:trHeight w:val="250" w:hRule="atLeast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образование «город Казань»</w:t>
            </w:r>
          </w:p>
        </w:tc>
        <w:tc>
          <w:tcPr>
            <w:tcW w:w="896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76" w:hRule="atLeast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</w:t>
            </w:r>
            <w:r>
              <w:rPr>
                <w:sz w:val="22"/>
                <w:szCs w:val="22"/>
              </w:rPr>
              <w:t xml:space="preserve">о </w:t>
            </w:r>
            <w:r>
              <w:rPr>
                <w:sz w:val="22"/>
                <w:szCs w:val="22"/>
              </w:rPr>
              <w:t>с ограниченной ответственностью «Управляющая компания «Предприятие жилищно-коммунального хозяйства»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(тарифы указаны без учета НДС)</w:t>
            </w:r>
          </w:p>
        </w:tc>
        <w:tc>
          <w:tcPr>
            <w:tcW w:w="8969" w:type="dxa"/>
            <w:gridSpan w:val="9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76" w:hRule="atLeast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Предельные тарифы на захоронение твердых коммунальных отходов, руб./куб.м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120,90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131,65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113,14*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Предельные тарифы на захоронение твердых коммунальных отходов, руб./тонну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872,99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2 584,66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1 566,41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1 566,41</w:t>
            </w:r>
          </w:p>
        </w:tc>
      </w:tr>
    </w:tbl>
    <w:p>
      <w:pPr>
        <w:pStyle w:val="Normal"/>
        <w:ind w:right="140"/>
        <w:jc w:val="both"/>
        <w:rPr>
          <w:sz w:val="16"/>
          <w:szCs w:val="22"/>
        </w:rPr>
      </w:pPr>
      <w:r>
        <w:rPr>
          <w:sz w:val="16"/>
          <w:szCs w:val="22"/>
        </w:rPr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&lt;*&gt; Тарифы на 2023 год, скорректированные постановлением Государственного комитета Республики Татарстан по тарифам от 16.11.2022 </w:t>
        <w:br/>
        <w:t>№ 523-32/тко-2022,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 1 декабря 2022 года.</w:t>
      </w:r>
    </w:p>
    <w:p>
      <w:pPr>
        <w:pStyle w:val="Normal"/>
        <w:ind w:right="140"/>
        <w:jc w:val="both"/>
        <w:rPr/>
      </w:pPr>
      <w:r>
        <w:rPr/>
      </w:r>
    </w:p>
    <w:p>
      <w:pPr>
        <w:pStyle w:val="Normal"/>
        <w:ind w:right="140"/>
        <w:jc w:val="both"/>
        <w:rPr/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Отдел организации, контроля и сопровождения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принятия тарифных решений Государственного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p>
      <w:pPr>
        <w:pStyle w:val="Normal"/>
        <w:ind w:left="10915"/>
        <w:rPr>
          <w:szCs w:val="24"/>
        </w:rPr>
      </w:pPr>
      <w:r>
        <w:rPr>
          <w:szCs w:val="24"/>
        </w:rPr>
      </w:r>
    </w:p>
    <w:p>
      <w:pPr>
        <w:pStyle w:val="Normal"/>
        <w:ind w:left="10915"/>
        <w:rPr>
          <w:szCs w:val="24"/>
        </w:rPr>
      </w:pPr>
      <w:r>
        <w:rPr>
          <w:szCs w:val="24"/>
        </w:rPr>
      </w:r>
    </w:p>
    <w:p>
      <w:pPr>
        <w:pStyle w:val="Normal"/>
        <w:ind w:left="10773" w:right="-172"/>
        <w:rPr>
          <w:szCs w:val="24"/>
        </w:rPr>
      </w:pPr>
      <w:r>
        <w:rPr>
          <w:szCs w:val="24"/>
        </w:rPr>
        <w:t>Приложение 3 к постановлению</w:t>
      </w:r>
    </w:p>
    <w:p>
      <w:pPr>
        <w:pStyle w:val="Normal"/>
        <w:ind w:left="10773" w:right="-172"/>
        <w:rPr>
          <w:szCs w:val="24"/>
        </w:rPr>
      </w:pPr>
      <w:r>
        <w:rPr>
          <w:szCs w:val="24"/>
        </w:rPr>
        <w:t xml:space="preserve">Государственного комитета </w:t>
      </w:r>
    </w:p>
    <w:p>
      <w:pPr>
        <w:pStyle w:val="Normal"/>
        <w:ind w:left="10773" w:right="-172"/>
        <w:rPr>
          <w:szCs w:val="24"/>
        </w:rPr>
      </w:pPr>
      <w:r>
        <w:rPr>
          <w:szCs w:val="24"/>
        </w:rPr>
        <w:t>Республики Татарстан по тарифам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773" w:right="-172"/>
        <w:rPr/>
      </w:pPr>
      <w:r>
        <w:rPr/>
        <w:t xml:space="preserve">от </w:t>
      </w:r>
      <w:r>
        <w:rPr>
          <w:u w:val="single"/>
        </w:rPr>
        <w:t>18.12.2020</w:t>
      </w:r>
      <w:r>
        <w:rPr/>
        <w:t xml:space="preserve"> № </w:t>
      </w:r>
      <w:r>
        <w:rPr>
          <w:u w:val="single"/>
        </w:rPr>
        <w:t>576-34/тко-2020</w:t>
      </w:r>
      <w:r>
        <w:rPr>
          <w:szCs w:val="24"/>
        </w:rPr>
        <w:br/>
        <w:t xml:space="preserve">(в редакции постановления </w:t>
        <w:br/>
        <w:t>Государственного комитета</w:t>
      </w:r>
    </w:p>
    <w:p>
      <w:pPr>
        <w:pStyle w:val="Normal"/>
        <w:ind w:left="10773" w:right="-172"/>
        <w:rPr>
          <w:szCs w:val="24"/>
        </w:rPr>
      </w:pPr>
      <w:r>
        <w:rPr>
          <w:szCs w:val="24"/>
        </w:rPr>
        <w:t>Республики Татарстан по тарифам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773" w:right="-172"/>
        <w:rPr>
          <w:szCs w:val="24"/>
        </w:rPr>
      </w:pPr>
      <w:r>
        <w:rPr/>
        <w:t xml:space="preserve">от </w:t>
      </w:r>
      <w:r>
        <w:rPr>
          <w:szCs w:val="24"/>
        </w:rPr>
        <w:t>____________</w:t>
      </w:r>
      <w:r>
        <w:rPr/>
        <w:t>№ ___________________)</w:t>
      </w:r>
    </w:p>
    <w:p>
      <w:pPr>
        <w:pStyle w:val="Normal"/>
        <w:ind w:left="6237"/>
        <w:rPr>
          <w:szCs w:val="24"/>
          <w:highlight w:val="yellow"/>
        </w:rPr>
      </w:pPr>
      <w:r>
        <w:rPr>
          <w:szCs w:val="24"/>
          <w:highlight w:val="yellow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32"/>
        <w:gridCol w:w="2576"/>
        <w:gridCol w:w="3125"/>
        <w:gridCol w:w="339"/>
        <w:gridCol w:w="2252"/>
        <w:gridCol w:w="470"/>
        <w:gridCol w:w="2845"/>
        <w:gridCol w:w="2898"/>
      </w:tblGrid>
      <w:tr>
        <w:trPr>
          <w:trHeight w:val="465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Производственная программа организации</w:t>
            </w:r>
          </w:p>
        </w:tc>
      </w:tr>
      <w:tr>
        <w:trPr>
          <w:trHeight w:val="360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>
        <w:trPr>
          <w:trHeight w:val="315" w:hRule="atLeast"/>
        </w:trPr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1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Общество с ограниченной ответственностью «Управляющая компания «Предприятие жилищно-коммунального хозяйства»</w:t>
            </w:r>
          </w:p>
        </w:tc>
      </w:tr>
      <w:tr>
        <w:trPr>
          <w:trHeight w:val="315" w:hRule="atLeast"/>
        </w:trPr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420087, Республика Татарстан, г. Казань, ул. Родины, д.8, офис 10</w:t>
            </w:r>
          </w:p>
        </w:tc>
      </w:tr>
      <w:tr>
        <w:trPr>
          <w:trHeight w:val="315" w:hRule="atLeast"/>
        </w:trPr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1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>
        <w:trPr>
          <w:trHeight w:val="315" w:hRule="atLeast"/>
        </w:trPr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>
        <w:trPr>
          <w:trHeight w:val="553" w:hRule="atLeast"/>
        </w:trPr>
        <w:tc>
          <w:tcPr>
            <w:tcW w:w="3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</w:t>
            </w:r>
          </w:p>
        </w:tc>
        <w:tc>
          <w:tcPr>
            <w:tcW w:w="3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31.12.202</w:t>
            </w:r>
            <w:r>
              <w:rPr>
                <w:sz w:val="20"/>
                <w:lang w:val="en-US"/>
              </w:rPr>
              <w:t>5</w:t>
            </w:r>
          </w:p>
        </w:tc>
      </w:tr>
      <w:tr>
        <w:trPr>
          <w:trHeight w:val="278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и график реализации мероприятий производственной программы</w:t>
            </w:r>
          </w:p>
        </w:tc>
      </w:tr>
      <w:tr>
        <w:trPr>
          <w:trHeight w:val="311" w:hRule="atLeast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0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Единица </w:t>
              <w:br/>
              <w:t>измерения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>
        <w:trPr>
          <w:trHeight w:val="274" w:hRule="atLeast"/>
        </w:trPr>
        <w:tc>
          <w:tcPr>
            <w:tcW w:w="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04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>
        <w:trPr>
          <w:trHeight w:val="274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0"/>
              </w:rPr>
            </w:pPr>
            <w:r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763 779,78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54 767,77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75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3. Планируемая масса захораниваемых твердых коммунальных отходов</w:t>
            </w:r>
          </w:p>
        </w:tc>
      </w:tr>
      <w:tr>
        <w:trPr>
          <w:trHeight w:val="273" w:hRule="atLeast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0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69" w:hRule="atLeast"/>
        </w:trPr>
        <w:tc>
          <w:tcPr>
            <w:tcW w:w="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04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Масса твердых коммунальных отходов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тыс.тонн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522,56</w:t>
            </w:r>
          </w:p>
        </w:tc>
      </w:tr>
      <w:tr>
        <w:trPr>
          <w:trHeight w:val="249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>
        <w:trPr>
          <w:trHeight w:val="285" w:hRule="atLeast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0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61" w:hRule="atLeast"/>
        </w:trPr>
        <w:tc>
          <w:tcPr>
            <w:tcW w:w="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04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435 336,93</w:t>
            </w:r>
          </w:p>
        </w:tc>
      </w:tr>
      <w:tr>
        <w:trPr>
          <w:trHeight w:val="321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Материалы и малоценные основные средства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50 936,04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электрическую энергию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8 820,26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используемых для обработки, обезвреживания, захоронения твердых коммунальных отходов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оплату труда и отчисления на социальные нужды основного производственного персонала, в том числе налоги и сборы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123 868,93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Общехозяйственные расходы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187 752,58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Прочие производственные расходы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63 959,12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Ремонтные расходы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54 767,77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Сбытовые расходы (сомнительные долги)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47 309,69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76 681,12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14 679,79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48 501,66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оплату товаров (услуг, работ), приобретаемых у других организаций, осуществляющих регулируемые виды деятельности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Прочие неподконтрольные расходы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Недополученные доходы / Выпадающие расходы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376 760,14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Экономически не обоснованные доходы прошлых периодов регулирования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266 928,32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31 438,77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818 547,55</w:t>
            </w:r>
          </w:p>
        </w:tc>
      </w:tr>
      <w:tr>
        <w:trPr>
          <w:trHeight w:val="375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>
        <w:trPr>
          <w:trHeight w:val="375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8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плановый период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>
        <w:trPr>
          <w:trHeight w:val="392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6. Плановые и фактические значения показателей эффективности объектов</w:t>
            </w:r>
          </w:p>
        </w:tc>
      </w:tr>
      <w:tr>
        <w:trPr>
          <w:trHeight w:val="322" w:hRule="atLeast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0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28" w:hRule="atLeast"/>
        </w:trPr>
        <w:tc>
          <w:tcPr>
            <w:tcW w:w="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04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>
        <w:trPr>
          <w:trHeight w:val="274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900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%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420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>
        <w:trPr>
          <w:trHeight w:val="405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 результатах финансово-хозяйственной деятельности за 2023 год.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even" r:id="rId6"/>
      <w:headerReference w:type="default" r:id="rId7"/>
      <w:headerReference w:type="first" r:id="rId8"/>
      <w:type w:val="nextPage"/>
      <w:pgSz w:orient="landscape" w:w="16838" w:h="11906"/>
      <w:pgMar w:left="1134" w:right="567" w:gutter="0" w:header="709" w:top="1134" w:footer="0" w:bottom="567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4884698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4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4884698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4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3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Heading5">
    <w:name w:val="Heading 5"/>
    <w:basedOn w:val="Normal"/>
    <w:next w:val="Normal"/>
    <w:link w:val="5"/>
    <w:qFormat/>
    <w:pPr>
      <w:keepNext w:val="true"/>
      <w:jc w:val="center"/>
      <w:outlineLvl w:val="4"/>
    </w:pPr>
    <w:rPr>
      <w:b/>
      <w:cap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">
    <w:name w:val="line number"/>
    <w:basedOn w:val="DefaultParagraphFont"/>
    <w:semiHidden/>
    <w:qFormat/>
    <w:rPr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qFormat/>
    <w:rPr/>
  </w:style>
  <w:style w:type="character" w:styleId="5" w:customStyle="1">
    <w:name w:val="Заголовок 5 Знак"/>
    <w:qFormat/>
    <w:rPr>
      <w:b/>
      <w:caps/>
      <w:sz w:val="22"/>
    </w:rPr>
  </w:style>
  <w:style w:type="character" w:styleId="Style13" w:customStyle="1">
    <w:name w:val="Основной текст Знак"/>
    <w:qFormat/>
    <w:rPr>
      <w:b/>
      <w:caps/>
    </w:rPr>
  </w:style>
  <w:style w:type="character" w:styleId="Style14" w:customStyle="1">
    <w:name w:val="Основной текст с отступом Знак"/>
    <w:qFormat/>
    <w:rPr/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styleId="Style15" w:customStyle="1">
    <w:name w:val="Нижний колонтитул Знак"/>
    <w:basedOn w:val="DefaultParagraphFont"/>
    <w:uiPriority w:val="99"/>
    <w:qFormat/>
    <w:rsid w:val="00ca314d"/>
    <w:rPr>
      <w:sz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ca314d"/>
    <w:rPr>
      <w:sz w:val="24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3"/>
    <w:pPr>
      <w:jc w:val="center"/>
    </w:pPr>
    <w:rPr>
      <w:b/>
      <w:caps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14"/>
    <w:pPr>
      <w:spacing w:before="0" w:after="120"/>
      <w:ind w:left="283"/>
    </w:pPr>
    <w:rPr/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pPr>
      <w:widowControl w:val="false"/>
      <w:bidi w:val="0"/>
      <w:spacing w:before="0" w:after="0"/>
      <w:ind w:firstLine="720" w:right="19772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4" w:customStyle="1">
    <w:name w:val="Обычный + 14 пт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qFormat/>
    <w:pPr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072770"/>
    <w:pPr>
      <w:spacing w:before="0" w:after="0"/>
      <w:ind w:left="720"/>
      <w:contextualSpacing/>
    </w:pPr>
    <w:rPr/>
  </w:style>
  <w:style w:type="paragraph" w:styleId="Footer">
    <w:name w:val="Footer"/>
    <w:basedOn w:val="Normal"/>
    <w:link w:val="Style15"/>
    <w:uiPriority w:val="99"/>
    <w:unhideWhenUsed/>
    <w:rsid w:val="00ca314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>
    <w:name w:val="Верхний колонтитул слева"/>
    <w:basedOn w:val="Header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Table Simple 1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ae">
    <w:name w:val="Table Grid"/>
    <w:basedOn w:val="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LibreOffice/7.6.7.2$Linux_X86_64 LibreOffice_project/60$Build-2</Application>
  <AppVersion>15.0000</AppVersion>
  <Pages>6</Pages>
  <Words>1295</Words>
  <Characters>9262</Characters>
  <CharactersWithSpaces>10535</CharactersWithSpaces>
  <Paragraphs>243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2024-12-13T18:39:00Z</dcterms:created>
  <dc:creator>egas_vcons3</dc:creator>
  <dc:description/>
  <dc:language>ru-RU</dc:language>
  <cp:lastModifiedBy/>
  <cp:lastPrinted>2024-12-12T08:53:00Z</cp:lastPrinted>
  <dcterms:modified xsi:type="dcterms:W3CDTF">2024-12-16T10:04:37Z</dcterms:modified>
  <cp:revision>9</cp:revision>
  <dc:subject/>
  <dc:title>П Р А В Л Е Н И 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