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652"/>
        <w:gridCol w:w="1201"/>
        <w:gridCol w:w="4352"/>
      </w:tblGrid>
      <w:tr>
        <w:trPr>
          <w:trHeight w:val="568" w:hRule="atLeast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Cs w:val="28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Cs w:val="28"/>
              </w:rPr>
              <w:t>ГОСУДАРСТВЕННЫЙ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РЕСПУБЛИКИ 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по тарифам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01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</w:t>
            </w:r>
            <w:r>
              <w:rPr>
                <w:caps/>
                <w:szCs w:val="28"/>
              </w:rPr>
              <w:t>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  </w:t>
            </w:r>
            <w:r>
              <w:rPr>
                <w:caps/>
                <w:szCs w:val="28"/>
              </w:rPr>
              <w:t>РЕСПУБЛИКАСЫны</w:t>
            </w:r>
            <w:r>
              <w:rPr>
                <w:caps/>
                <w:szCs w:val="28"/>
                <w:lang w:val="tt-RU"/>
              </w:rPr>
              <w:t>ң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right="-108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</w:t>
            </w:r>
            <w:r>
              <w:rPr>
                <w:caps/>
                <w:szCs w:val="28"/>
              </w:rPr>
              <w:t xml:space="preserve">тарифлар буенча </w:t>
            </w:r>
            <w:r>
              <w:rPr>
                <w:caps/>
                <w:szCs w:val="28"/>
                <w:lang w:val="tt-RU"/>
              </w:rPr>
              <w:t>ДӘҮЛӘТ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комитеты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284" w:leader="none"/>
        </w:tabs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rPr>
          <w:b/>
        </w:rPr>
      </w:pPr>
      <w:r>
        <w:rPr/>
        <w:t xml:space="preserve">        </w:t>
      </w:r>
      <w:r>
        <w:rPr>
          <w:b/>
        </w:rPr>
        <w:t xml:space="preserve">     </w:t>
      </w:r>
      <w:r>
        <w:rPr>
          <w:b/>
        </w:rPr>
        <w:t>ПОСТАНОВЛЕНИЕ</w:t>
      </w:r>
      <w:r>
        <w:rPr/>
        <w:tab/>
        <w:tab/>
        <w:tab/>
        <w:tab/>
        <w:tab/>
        <w:t xml:space="preserve">                </w:t>
      </w:r>
      <w:r>
        <w:rPr>
          <w:b/>
        </w:rPr>
        <w:t>КАРАР</w:t>
      </w:r>
    </w:p>
    <w:p>
      <w:pPr>
        <w:pStyle w:val="Normal"/>
        <w:rPr>
          <w:sz w:val="20"/>
        </w:rPr>
      </w:pPr>
      <w:r>
        <w:rPr>
          <w:b/>
        </w:rPr>
        <w:t xml:space="preserve">                </w:t>
      </w:r>
      <w:r>
        <w:rPr>
          <w:szCs w:val="28"/>
        </w:rPr>
        <w:t xml:space="preserve"> </w:t>
      </w:r>
      <w:r>
        <w:rPr>
          <w:szCs w:val="28"/>
        </w:rPr>
        <w:t>___________</w:t>
      </w:r>
      <w:r>
        <w:rPr>
          <w:b/>
        </w:rPr>
        <w:t xml:space="preserve">   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  </w:t>
      </w:r>
      <w:r>
        <w:rPr/>
        <w:t>№</w:t>
      </w:r>
      <w:r>
        <w:rPr>
          <w:b/>
        </w:rPr>
        <w:t xml:space="preserve"> </w:t>
      </w:r>
      <w:r>
        <w:rPr>
          <w:szCs w:val="28"/>
        </w:rPr>
        <w:t>______________</w:t>
      </w:r>
    </w:p>
    <w:p>
      <w:pPr>
        <w:pStyle w:val="Normal"/>
        <w:spacing w:lineRule="atLeast" w:line="20"/>
        <w:jc w:val="center"/>
        <w:rPr>
          <w:szCs w:val="24"/>
        </w:rPr>
      </w:pPr>
      <w:r>
        <w:rPr>
          <w:szCs w:val="24"/>
        </w:rPr>
      </w:r>
    </w:p>
    <w:tbl>
      <w:tblPr>
        <w:tblW w:w="104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11"/>
        <w:gridCol w:w="5211"/>
      </w:tblGrid>
      <w:tr>
        <w:trPr/>
        <w:tc>
          <w:tcPr>
            <w:tcW w:w="5211" w:type="dxa"/>
            <w:tcBorders/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1830" w:leader="none"/>
              </w:tabs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</w:r>
          </w:p>
          <w:p>
            <w:pPr>
              <w:pStyle w:val="Normal"/>
              <w:jc w:val="both"/>
              <w:rPr>
                <w:rFonts w:eastAsia="Calibri"/>
                <w:szCs w:val="28"/>
              </w:rPr>
            </w:pPr>
            <w:r>
              <w:rPr/>
              <w:t xml:space="preserve">Об установлении предельных тарифов </w:t>
              <w:br/>
              <w:t xml:space="preserve">на захоронение твердых коммунальных отходов и утверждении производственной программы </w:t>
              <w:br/>
              <w:t>для Общества с ограниченной ответственностью «Управляющая компания жилищно-коммунального хозяйства Нурлатского муниципального района Республики Татарстан»</w:t>
              <w:br/>
              <w:t>на 2025 год</w:t>
            </w:r>
          </w:p>
        </w:tc>
        <w:tc>
          <w:tcPr>
            <w:tcW w:w="521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eastAsia="Calibri"/>
                <w:b/>
                <w:i/>
                <w:i/>
                <w:szCs w:val="28"/>
              </w:rPr>
            </w:pPr>
            <w:r>
              <w:rPr>
                <w:rFonts w:eastAsia="Calibri" w:ascii="Calibri" w:hAnsi="Calibri"/>
                <w:b/>
                <w:i/>
                <w:szCs w:val="28"/>
              </w:rPr>
            </w:r>
          </w:p>
        </w:tc>
      </w:tr>
    </w:tbl>
    <w:p>
      <w:pPr>
        <w:pStyle w:val="Normal"/>
        <w:rPr>
          <w:szCs w:val="16"/>
        </w:rPr>
      </w:pPr>
      <w:r>
        <w:rPr>
          <w:szCs w:val="16"/>
        </w:rPr>
      </w:r>
    </w:p>
    <w:p>
      <w:pPr>
        <w:pStyle w:val="Normal"/>
        <w:rPr>
          <w:szCs w:val="16"/>
        </w:rPr>
      </w:pPr>
      <w:r>
        <w:rPr>
          <w:szCs w:val="16"/>
        </w:rPr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24 июня 1998 года № 89-ФЗ </w:t>
        <w:br/>
        <w:t>«Об отходах производства и потребления», постановлениями Правительства Российской Федерации 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</w:t>
        <w:br/>
        <w:t>и производственных программ», от 30 мая 2016 г. № 484 «О ценообразовании</w:t>
        <w:br/>
        <w:t>в области обращения с твердыми коммунальными отходами», приказом Федеральной антимонопольной службы от 21 ноября 2016 г. № 1638/16</w:t>
        <w:br/>
        <w:t>«Об утверждении Методических указаний по расчету регулируемых тарифов</w:t>
        <w:br/>
        <w:t>в области обращения с твердыми коммунальными отходами», Положением</w:t>
        <w:br/>
        <w:t>о Государственном комитете Республики Татарстан по тарифам, утвержденным постановлением Кабинета Министров Республики Татарстан от 15.06.2010 № 468,</w:t>
      </w:r>
      <w:r>
        <w:rPr/>
        <w:t xml:space="preserve"> </w:t>
      </w:r>
      <w:r>
        <w:rPr>
          <w:szCs w:val="28"/>
        </w:rPr>
        <w:t>протоколом заседания Правления Государственного комитета Республики Татарстан по тарифам от 13.12.2024 № 32-ПР Государственный комитет Республики Татарстан</w:t>
        <w:br/>
        <w:t>по тарифам ПОСТАНОВЛЯЕТ: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  <w:lang w:val="en-US"/>
        </w:rPr>
        <w:t> </w:t>
      </w:r>
      <w:r>
        <w:rPr>
          <w:szCs w:val="28"/>
        </w:rPr>
        <w:t>Установить предельные тарифы на захоронение твердых коммунальных отходов для Общества с ограниченной ответственностью «Управляющая компания жилищно-коммунального хозяйства Нурлатского муниципального района Республики Татарстан» с календарной разбивкой согласно приложению 1</w:t>
        <w:br/>
        <w:t>к настоящему постановлению.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2. Предельные тарифы, установленные в пункте 1 настоящего постановления, действуют с 1 января 2025 года по 31 декабря 2025 года.</w:t>
      </w:r>
    </w:p>
    <w:p>
      <w:pPr>
        <w:pStyle w:val="Normal"/>
        <w:ind w:firstLine="720"/>
        <w:jc w:val="both"/>
        <w:rPr>
          <w:szCs w:val="28"/>
        </w:rPr>
      </w:pPr>
      <w:r>
        <w:rPr>
          <w:szCs w:val="28"/>
        </w:rPr>
        <w:t>3. Утвердить производственную программу Общества с ограниченной ответственностью «Управляющая компания жилищно-коммунального хозяйства Нурлатского муниципального района Республики Татарстан»</w:t>
      </w:r>
      <w:r>
        <w:rPr/>
        <w:t xml:space="preserve"> </w:t>
      </w:r>
      <w:r>
        <w:rPr>
          <w:szCs w:val="28"/>
        </w:rPr>
        <w:t>в области</w:t>
      </w:r>
      <w:bookmarkStart w:id="0" w:name="_GoBack"/>
      <w:bookmarkEnd w:id="0"/>
      <w:r>
        <w:rPr>
          <w:szCs w:val="28"/>
        </w:rPr>
        <w:t xml:space="preserve"> обращения</w:t>
        <w:br/>
        <w:t>с твердыми коммунальными отходами согласно приложению 2 к настоящему постановлению.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  <w:lang w:val="en-US"/>
        </w:rPr>
        <w:t> </w:t>
      </w:r>
      <w:r>
        <w:rPr>
          <w:szCs w:val="28"/>
        </w:rPr>
        <w:t>Обществу с ограниченной ответственностью «Управляющая компания жилищно-коммунального хозяйства Нурлатского муниципального района Республики Татарстан» раскрыть информацию, подлежащую свободному доступу,</w:t>
        <w:br/>
        <w:t>в соответствии со стандартами раскрытия информации в области обращения</w:t>
        <w:br/>
        <w:t>с твердыми коммунальными отходами, утвержденными постановлением Правительства Российской Федерации от 26 января 2023 г. № 109, в срок не позднее 30 дней со дня принятия решения об установлении тарифов на очередной период регулирования.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5. Настоящее постановление вступает в силу по истечении 10 дней после дня его официального опубликования.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567" w:gutter="0" w:header="709" w:top="1134" w:footer="0" w:bottom="1134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                     А.С.Груничев</w:t>
        <w:tab/>
        <w:tab/>
        <w:tab/>
        <w:tab/>
        <w:tab/>
        <w:t xml:space="preserve">             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Приложение 1 к постановлению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Государственного комитета 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от ___________ № ____________</w:t>
      </w:r>
    </w:p>
    <w:p>
      <w:pPr>
        <w:pStyle w:val="Normal"/>
        <w:jc w:val="center"/>
        <w:rPr>
          <w:bCs/>
          <w:szCs w:val="28"/>
        </w:rPr>
      </w:pPr>
      <w:r>
        <w:rPr>
          <w:bCs/>
          <w:szCs w:val="28"/>
        </w:rPr>
        <w:t xml:space="preserve"> </w:t>
      </w:r>
    </w:p>
    <w:p>
      <w:pPr>
        <w:pStyle w:val="Normal"/>
        <w:jc w:val="center"/>
        <w:rPr>
          <w:bCs/>
          <w:szCs w:val="28"/>
        </w:rPr>
      </w:pPr>
      <w:r>
        <w:rPr>
          <w:bCs/>
          <w:szCs w:val="28"/>
        </w:rPr>
      </w:r>
    </w:p>
    <w:p>
      <w:pPr>
        <w:pStyle w:val="Normal"/>
        <w:jc w:val="center"/>
        <w:rPr/>
      </w:pPr>
      <w:r>
        <w:rPr/>
        <w:t xml:space="preserve">Предельные тарифы на захоронение твердых коммунальных отходов </w:t>
      </w:r>
    </w:p>
    <w:p>
      <w:pPr>
        <w:pStyle w:val="Normal"/>
        <w:jc w:val="center"/>
        <w:rPr/>
      </w:pPr>
      <w:r>
        <w:rPr/>
        <w:t>для Общества с ограниченной ответственностью «Управляющая компания жилищно-коммунального хозяйства Нурлатского муниципального района Республики Татарстан» на 2025 год с календарной разбивкой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right="140"/>
        <w:rPr/>
      </w:pPr>
      <w:r>
        <w:rPr/>
      </w:r>
    </w:p>
    <w:tbl>
      <w:tblPr>
        <w:tblW w:w="49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673"/>
        <w:gridCol w:w="5575"/>
        <w:gridCol w:w="4286"/>
        <w:gridCol w:w="3743"/>
      </w:tblGrid>
      <w:tr>
        <w:trPr>
          <w:tblHeader w:val="true"/>
          <w:trHeight w:val="401" w:hRule="atLeast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8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32" w:right="6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Предельные тарифы на захоронение твердых коммунальных отходов, руб./тонну</w:t>
            </w:r>
          </w:p>
        </w:tc>
      </w:tr>
      <w:tr>
        <w:trPr>
          <w:tblHeader w:val="true"/>
          <w:trHeight w:val="548" w:hRule="atLeast"/>
        </w:trPr>
        <w:tc>
          <w:tcPr>
            <w:tcW w:w="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32" w:right="6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5 год</w:t>
            </w:r>
          </w:p>
        </w:tc>
      </w:tr>
      <w:tr>
        <w:trPr>
          <w:tblHeader w:val="true"/>
          <w:trHeight w:val="554" w:hRule="atLeast"/>
        </w:trPr>
        <w:tc>
          <w:tcPr>
            <w:tcW w:w="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</w:t>
            </w:r>
          </w:p>
        </w:tc>
      </w:tr>
      <w:tr>
        <w:trPr>
          <w:trHeight w:val="250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376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с ограниченной ответственностью «Управляющая компания жилищно-коммунального хозяйства Нурлатского муниципального района Республики Татарстан»*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830,33</w:t>
            </w:r>
          </w:p>
        </w:tc>
        <w:tc>
          <w:tcPr>
            <w:tcW w:w="37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1 014,68</w:t>
            </w:r>
          </w:p>
        </w:tc>
      </w:tr>
    </w:tbl>
    <w:p>
      <w:pPr>
        <w:pStyle w:val="Normal"/>
        <w:ind w:right="1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  <w:t>&lt;*&gt; Применяет упрощенную систему налогообложения, в соответствии со статьей 145 Налогового кодекса Российской Федерации освобождено от исполнения обязанностей налогоплательщика, связанных с исчислением и уплатой налога на добавленную стоимость.</w:t>
      </w:r>
    </w:p>
    <w:p>
      <w:pPr>
        <w:pStyle w:val="Normal"/>
        <w:ind w:right="1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1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140"/>
        <w:rPr>
          <w:szCs w:val="28"/>
        </w:rPr>
      </w:pPr>
      <w:r>
        <w:rPr>
          <w:szCs w:val="28"/>
        </w:rPr>
        <w:t xml:space="preserve">Отдел организации, контроля и сопровождения </w:t>
      </w:r>
    </w:p>
    <w:p>
      <w:pPr>
        <w:pStyle w:val="Normal"/>
        <w:ind w:right="140"/>
        <w:rPr>
          <w:szCs w:val="28"/>
        </w:rPr>
      </w:pPr>
      <w:r>
        <w:rPr>
          <w:szCs w:val="28"/>
        </w:rPr>
        <w:t xml:space="preserve">принятия тарифных решений Государственного </w:t>
      </w:r>
    </w:p>
    <w:p>
      <w:pPr>
        <w:pStyle w:val="Normal"/>
        <w:ind w:right="140"/>
        <w:rPr>
          <w:szCs w:val="28"/>
        </w:rPr>
      </w:pPr>
      <w:r>
        <w:rPr>
          <w:szCs w:val="28"/>
        </w:rPr>
        <w:t xml:space="preserve">комитета Республики Татарстан по тарифам </w:t>
      </w:r>
    </w:p>
    <w:p>
      <w:pPr>
        <w:pStyle w:val="Normal"/>
        <w:ind w:right="140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spacing w:before="0" w:after="0"/>
        <w:ind w:left="10915"/>
        <w:rPr>
          <w:sz w:val="24"/>
          <w:szCs w:val="24"/>
        </w:rPr>
      </w:pPr>
      <w:r>
        <w:rPr>
          <w:sz w:val="24"/>
          <w:szCs w:val="24"/>
        </w:rPr>
        <w:t>Приложение 2 к постановлению</w:t>
      </w:r>
    </w:p>
    <w:p>
      <w:pPr>
        <w:pStyle w:val="Normal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Государственного комитета </w:t>
      </w:r>
    </w:p>
    <w:p>
      <w:pPr>
        <w:pStyle w:val="Normal"/>
        <w:ind w:left="10915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>
      <w:pPr>
        <w:pStyle w:val="Normal"/>
        <w:tabs>
          <w:tab w:val="clear" w:pos="720"/>
          <w:tab w:val="left" w:pos="6663" w:leader="none"/>
          <w:tab w:val="left" w:pos="6946" w:leader="none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от __________ №_______________</w:t>
      </w:r>
    </w:p>
    <w:p>
      <w:pPr>
        <w:pStyle w:val="Normal"/>
        <w:ind w:left="6237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</w:p>
    <w:tbl>
      <w:tblPr>
        <w:tblW w:w="5000" w:type="pct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47"/>
        <w:gridCol w:w="2749"/>
        <w:gridCol w:w="2911"/>
        <w:gridCol w:w="315"/>
        <w:gridCol w:w="2098"/>
        <w:gridCol w:w="428"/>
        <w:gridCol w:w="2649"/>
        <w:gridCol w:w="2973"/>
      </w:tblGrid>
      <w:tr>
        <w:trPr>
          <w:trHeight w:val="465" w:hRule="atLeast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Производственная программа организации</w:t>
            </w:r>
          </w:p>
        </w:tc>
      </w:tr>
      <w:tr>
        <w:trPr>
          <w:trHeight w:val="360" w:hRule="atLeast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>
        <w:trPr>
          <w:trHeight w:val="315" w:hRule="atLeast"/>
        </w:trPr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13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</w:rPr>
              <w:t>Общество с ограниченной ответственностью «Управляющая компания жилищно-коммунального хозяйства Нурлатского муниципального района Республики Татарстан»</w:t>
            </w:r>
          </w:p>
        </w:tc>
      </w:tr>
      <w:tr>
        <w:trPr>
          <w:trHeight w:val="315" w:hRule="atLeast"/>
        </w:trPr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3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423040, Российская Федерация, Республика Татарстан, Нурлатский район, г. Нурлат, ул. Гиматдинова, д. 142А</w:t>
            </w:r>
          </w:p>
        </w:tc>
      </w:tr>
      <w:tr>
        <w:trPr>
          <w:trHeight w:val="315" w:hRule="atLeast"/>
        </w:trPr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13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>
        <w:trPr>
          <w:trHeight w:val="315" w:hRule="atLeast"/>
        </w:trPr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3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>
        <w:trPr>
          <w:trHeight w:val="553" w:hRule="atLeast"/>
        </w:trPr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</w:t>
            </w:r>
          </w:p>
        </w:tc>
        <w:tc>
          <w:tcPr>
            <w:tcW w:w="2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31.12.202</w:t>
            </w:r>
            <w:r>
              <w:rPr>
                <w:sz w:val="20"/>
                <w:lang w:val="en-US"/>
              </w:rPr>
              <w:t>5</w:t>
            </w:r>
          </w:p>
        </w:tc>
      </w:tr>
      <w:tr>
        <w:trPr>
          <w:trHeight w:val="278" w:hRule="atLeast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2. Перечень и график реализации мероприятий производственной программы</w:t>
            </w:r>
          </w:p>
        </w:tc>
      </w:tr>
      <w:tr>
        <w:trPr>
          <w:trHeight w:val="311" w:hRule="atLeast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59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Единица </w:t>
              <w:br/>
              <w:t>измерения</w:t>
            </w:r>
          </w:p>
        </w:tc>
        <w:tc>
          <w:tcPr>
            <w:tcW w:w="6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>
        <w:trPr>
          <w:trHeight w:val="274" w:hRule="atLeast"/>
        </w:trPr>
        <w:tc>
          <w:tcPr>
            <w:tcW w:w="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597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0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>
        <w:trPr>
          <w:trHeight w:val="274" w:hRule="atLeast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5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0"/>
              </w:rPr>
            </w:pPr>
            <w:r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24 943,39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75" w:hRule="atLeast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Раздел 3. Планируемая масса захораниваемых твердых коммунальных отходов</w:t>
            </w:r>
          </w:p>
        </w:tc>
      </w:tr>
      <w:tr>
        <w:trPr>
          <w:trHeight w:val="273" w:hRule="atLeast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59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69" w:hRule="atLeast"/>
        </w:trPr>
        <w:tc>
          <w:tcPr>
            <w:tcW w:w="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597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0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Масса твердых коммунальных отходов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тыс.тонн</w:t>
            </w:r>
          </w:p>
        </w:tc>
        <w:tc>
          <w:tcPr>
            <w:tcW w:w="6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27,04</w:t>
            </w:r>
          </w:p>
        </w:tc>
      </w:tr>
      <w:tr>
        <w:trPr>
          <w:trHeight w:val="249" w:hRule="atLeast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Раздел 4. Объем финансовых потребностей</w:t>
            </w:r>
          </w:p>
        </w:tc>
      </w:tr>
      <w:tr>
        <w:trPr>
          <w:trHeight w:val="285" w:hRule="atLeast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59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61" w:hRule="atLeast"/>
        </w:trPr>
        <w:tc>
          <w:tcPr>
            <w:tcW w:w="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597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0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>
        <w:trPr>
          <w:trHeight w:val="79" w:hRule="atLeast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Производственные расходы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18 276,11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5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Материалы и малоценные основные средства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3 109,80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5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электрическую энергию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28,30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5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оплату выполняемых сторонними организациями или индивидуальными предпринимателями работ и (или) услуг, связанных с эксплуатацией объектов, используемых для обработки, обезвреживания, захоронения твердых коммунальных отходов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5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оплату труда и отчисления на социальные нужды основного производственного персонала, в том числе налоги и сборы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8 731,12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5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Общехозяйственные расходы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752,20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5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Прочие производственные расходы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5 654,69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Ремонтные расходы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Административные расходы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1 760,77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Сбытовые расходы (сомнительные долги)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Амортизация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961,34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310,91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плату за негативное воздействие на окружающую среду при размещении твердых коммунальных отходов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2 568,80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Прочие неподконтрольные расходы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Недополученные доходы / Выпадающие расходы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1 065,46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Необходимая валовая выручка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24 943,39</w:t>
            </w:r>
          </w:p>
        </w:tc>
      </w:tr>
      <w:tr>
        <w:trPr>
          <w:trHeight w:val="375" w:hRule="atLeast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5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8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плановый период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>
        <w:trPr>
          <w:trHeight w:val="392" w:hRule="atLeast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Раздел 6. Плановые и фактические значения показателей эффективности объектов</w:t>
            </w:r>
          </w:p>
        </w:tc>
      </w:tr>
      <w:tr>
        <w:trPr>
          <w:trHeight w:val="322" w:hRule="atLeast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59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28" w:hRule="atLeast"/>
        </w:trPr>
        <w:tc>
          <w:tcPr>
            <w:tcW w:w="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597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0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>
        <w:trPr>
          <w:trHeight w:val="765" w:hRule="atLeast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6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802" w:hRule="atLeast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Количество возгораний твердых коммунальных отходов в расчете на единицу площади объекта захоронения твердых коммунальных отходов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%</w:t>
            </w:r>
          </w:p>
        </w:tc>
        <w:tc>
          <w:tcPr>
            <w:tcW w:w="6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420" w:hRule="atLeast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7. Отчет об исполнении производственной программы за истекший период регулирования</w:t>
            </w:r>
          </w:p>
        </w:tc>
      </w:tr>
      <w:tr>
        <w:trPr>
          <w:trHeight w:val="405" w:hRule="atLeast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Отчет об исполнении производственной программы за истекший период регулирования в составе отчетности организации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о результатах финансово-хозяйственной деятельности за 2023 год не представлен.</w:t>
            </w:r>
          </w:p>
        </w:tc>
      </w:tr>
    </w:tbl>
    <w:p>
      <w:pPr>
        <w:pStyle w:val="Normal"/>
        <w:jc w:val="both"/>
        <w:rPr>
          <w:szCs w:val="28"/>
        </w:rPr>
      </w:pPr>
      <w:r>
        <w:rPr>
          <w:szCs w:val="28"/>
        </w:rPr>
      </w:r>
    </w:p>
    <w:sectPr>
      <w:headerReference w:type="default" r:id="rId6"/>
      <w:headerReference w:type="first" r:id="rId7"/>
      <w:type w:val="nextPage"/>
      <w:pgSz w:orient="landscape" w:w="16838" w:h="11906"/>
      <w:pgMar w:left="1134" w:right="1134" w:gutter="0" w:header="720" w:top="1134" w:footer="0" w:bottom="567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Calibri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4605307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4605307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04d4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caps/>
      <w:sz w:val="24"/>
    </w:rPr>
  </w:style>
  <w:style w:type="paragraph" w:styleId="Heading2">
    <w:name w:val="Heading 2"/>
    <w:basedOn w:val="Normal"/>
    <w:next w:val="Normal"/>
    <w:qFormat/>
    <w:pPr>
      <w:keepNext w:val="true"/>
      <w:spacing w:lineRule="auto" w:line="360"/>
      <w:jc w:val="right"/>
      <w:outlineLvl w:val="1"/>
    </w:pPr>
    <w:rPr>
      <w:caps/>
      <w:sz w:val="32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center"/>
      <w:outlineLvl w:val="2"/>
    </w:pPr>
    <w:rPr>
      <w:b/>
      <w:caps/>
      <w:sz w:val="34"/>
    </w:rPr>
  </w:style>
  <w:style w:type="paragraph" w:styleId="Heading4">
    <w:name w:val="Heading 4"/>
    <w:basedOn w:val="Normal"/>
    <w:next w:val="Normal"/>
    <w:qFormat/>
    <w:pPr>
      <w:keepNext w:val="true"/>
      <w:pBdr>
        <w:bottom w:val="single" w:sz="12" w:space="1" w:color="000000"/>
      </w:pBdr>
      <w:spacing w:lineRule="auto" w:line="360"/>
      <w:jc w:val="right"/>
      <w:outlineLvl w:val="3"/>
    </w:pPr>
    <w:rPr>
      <w:caps/>
      <w:sz w:val="36"/>
    </w:rPr>
  </w:style>
  <w:style w:type="paragraph" w:styleId="Heading5">
    <w:name w:val="Heading 5"/>
    <w:basedOn w:val="Normal"/>
    <w:next w:val="Normal"/>
    <w:link w:val="5"/>
    <w:qFormat/>
    <w:pPr>
      <w:keepNext w:val="true"/>
      <w:jc w:val="center"/>
      <w:outlineLvl w:val="4"/>
    </w:pPr>
    <w:rPr>
      <w:b/>
      <w:caps/>
      <w:sz w:val="22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pPr>
      <w:keepNext w:val="true"/>
      <w:ind w:left="34"/>
      <w:jc w:val="center"/>
      <w:outlineLvl w:val="6"/>
    </w:pPr>
    <w:rPr>
      <w:b/>
      <w:caps/>
      <w:sz w:val="22"/>
    </w:rPr>
  </w:style>
  <w:style w:type="paragraph" w:styleId="Heading8">
    <w:name w:val="Heading 8"/>
    <w:basedOn w:val="Normal"/>
    <w:next w:val="Normal"/>
    <w:qFormat/>
    <w:pPr>
      <w:keepNext w:val="true"/>
      <w:spacing w:lineRule="auto" w:line="360"/>
      <w:jc w:val="center"/>
      <w:outlineLvl w:val="7"/>
    </w:pPr>
    <w:rPr>
      <w:b/>
      <w:caps/>
      <w:sz w:val="36"/>
    </w:rPr>
  </w:style>
  <w:style w:type="paragraph" w:styleId="Heading9">
    <w:name w:val="Heading 9"/>
    <w:basedOn w:val="Normal"/>
    <w:next w:val="Normal"/>
    <w:qFormat/>
    <w:pPr>
      <w:keepNext w:val="true"/>
      <w:ind w:firstLine="34"/>
      <w:jc w:val="center"/>
      <w:outlineLvl w:val="8"/>
    </w:pPr>
    <w:rPr>
      <w:b/>
      <w:cap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qFormat/>
    <w:rsid w:val="000e15b2"/>
    <w:rPr>
      <w:i/>
      <w:iCs/>
    </w:rPr>
  </w:style>
  <w:style w:type="character" w:styleId="5" w:customStyle="1">
    <w:name w:val="Заголовок 5 Знак"/>
    <w:basedOn w:val="DefaultParagraphFont"/>
    <w:qFormat/>
    <w:rsid w:val="003f7a65"/>
    <w:rPr>
      <w:b/>
      <w:caps/>
      <w:sz w:val="22"/>
    </w:rPr>
  </w:style>
  <w:style w:type="character" w:styleId="Style5" w:customStyle="1">
    <w:name w:val="Основной текст Знак"/>
    <w:basedOn w:val="DefaultParagraphFont"/>
    <w:qFormat/>
    <w:rsid w:val="004c7ef0"/>
    <w:rPr>
      <w:b/>
      <w:caps/>
      <w:sz w:val="24"/>
    </w:rPr>
  </w:style>
  <w:style w:type="character" w:styleId="Style6" w:customStyle="1">
    <w:name w:val="Основной текст с отступом Знак"/>
    <w:basedOn w:val="DefaultParagraphFont"/>
    <w:qFormat/>
    <w:rsid w:val="004c7ef0"/>
    <w:rPr>
      <w:sz w:val="24"/>
      <w:szCs w:val="24"/>
    </w:rPr>
  </w:style>
  <w:style w:type="character" w:styleId="Style7" w:customStyle="1">
    <w:name w:val="Верхний колонтитул Знак"/>
    <w:basedOn w:val="DefaultParagraphFont"/>
    <w:uiPriority w:val="99"/>
    <w:qFormat/>
    <w:rsid w:val="004c7ef0"/>
    <w:rPr>
      <w:sz w:val="28"/>
    </w:rPr>
  </w:style>
  <w:style w:type="character" w:styleId="Pagenumber">
    <w:name w:val="page number"/>
    <w:basedOn w:val="DefaultParagraphFont"/>
    <w:qFormat/>
    <w:rsid w:val="004c7ef0"/>
    <w:rPr/>
  </w:style>
  <w:style w:type="character" w:styleId="Style8" w:customStyle="1">
    <w:name w:val="Текст выноски Знак"/>
    <w:basedOn w:val="DefaultParagraphFont"/>
    <w:link w:val="BalloonText"/>
    <w:semiHidden/>
    <w:qFormat/>
    <w:rsid w:val="004c7ef0"/>
    <w:rPr>
      <w:rFonts w:ascii="Tahoma" w:hAnsi="Tahoma" w:cs="Tahoma"/>
      <w:sz w:val="16"/>
      <w:szCs w:val="16"/>
    </w:rPr>
  </w:style>
  <w:style w:type="character" w:styleId="Style9" w:customStyle="1">
    <w:name w:val="Нижний колонтитул Знак"/>
    <w:basedOn w:val="DefaultParagraphFont"/>
    <w:qFormat/>
    <w:rsid w:val="00a63587"/>
    <w:rPr>
      <w:sz w:val="28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5"/>
    <w:pPr>
      <w:jc w:val="center"/>
    </w:pPr>
    <w:rPr>
      <w:b/>
      <w:caps/>
      <w:sz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odyText2">
    <w:name w:val="Body Text 2"/>
    <w:basedOn w:val="Normal"/>
    <w:qFormat/>
    <w:pPr>
      <w:jc w:val="center"/>
    </w:pPr>
    <w:rPr>
      <w:b/>
      <w:caps/>
    </w:rPr>
  </w:style>
  <w:style w:type="paragraph" w:styleId="BodyText3">
    <w:name w:val="Body Text 3"/>
    <w:basedOn w:val="Normal"/>
    <w:qFormat/>
    <w:pPr>
      <w:jc w:val="center"/>
    </w:pPr>
    <w:rPr>
      <w:b/>
      <w:caps/>
      <w:sz w:val="40"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link w:val="Style8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092f"/>
    <w:pPr>
      <w:spacing w:before="0" w:after="0"/>
      <w:ind w:left="720"/>
      <w:contextualSpacing/>
    </w:pPr>
    <w:rPr/>
  </w:style>
  <w:style w:type="paragraph" w:styleId="ConsPlusNormal" w:customStyle="1">
    <w:name w:val="ConsPlusNormal"/>
    <w:qFormat/>
    <w:rsid w:val="004c7ef0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link w:val="Style6"/>
    <w:rsid w:val="004c7ef0"/>
    <w:pPr>
      <w:spacing w:before="0" w:after="120"/>
      <w:ind w:left="283"/>
    </w:pPr>
    <w:rPr>
      <w:sz w:val="24"/>
      <w:szCs w:val="24"/>
    </w:rPr>
  </w:style>
  <w:style w:type="paragraph" w:styleId="ConsNormal" w:customStyle="1">
    <w:name w:val="ConsNormal"/>
    <w:qFormat/>
    <w:rsid w:val="004c7ef0"/>
    <w:pPr>
      <w:widowControl w:val="false"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4c7ef0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14" w:customStyle="1">
    <w:name w:val="Обычный + 14 пт"/>
    <w:basedOn w:val="Normal"/>
    <w:qFormat/>
    <w:rsid w:val="004c7ef0"/>
    <w:pPr>
      <w:jc w:val="center"/>
    </w:pPr>
    <w:rPr>
      <w:b/>
      <w:szCs w:val="28"/>
    </w:rPr>
  </w:style>
  <w:style w:type="paragraph" w:styleId="Footer">
    <w:name w:val="Footer"/>
    <w:basedOn w:val="Normal"/>
    <w:link w:val="Style9"/>
    <w:rsid w:val="00a63587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a81c51"/>
    <w:pPr>
      <w:widowControl/>
      <w:bidi w:val="0"/>
      <w:spacing w:before="0" w:after="0"/>
      <w:jc w:val="left"/>
    </w:pPr>
    <w:rPr>
      <w:rFonts w:ascii="Tahoma" w:hAnsi="Tahoma" w:cs="Tahoma" w:eastAsia="Times New Roman"/>
      <w:color w:val="000000"/>
      <w:kern w:val="0"/>
      <w:sz w:val="24"/>
      <w:szCs w:val="24"/>
      <w:lang w:val="ru-RU" w:eastAsia="ru-RU" w:bidi="ar-SA"/>
    </w:rPr>
  </w:style>
  <w:style w:type="paragraph" w:styleId="Style1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" w:customStyle="1">
    <w:name w:val="Нет списка1"/>
    <w:semiHidden/>
    <w:unhideWhenUsed/>
    <w:qFormat/>
    <w:rsid w:val="004c7ef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0e15b2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">
    <w:name w:val="Сетка таблицы1"/>
    <w:basedOn w:val="a1"/>
    <w:rsid w:val="004c7e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">
    <w:name w:val="Сетка таблицы2"/>
    <w:basedOn w:val="a1"/>
    <w:uiPriority w:val="59"/>
    <w:rsid w:val="0045326e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1">
    <w:name w:val="Сетка таблицы3"/>
    <w:basedOn w:val="a1"/>
    <w:uiPriority w:val="59"/>
    <w:rsid w:val="00c43d72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0">
    <w:name w:val="Сетка таблицы4"/>
    <w:basedOn w:val="a1"/>
    <w:uiPriority w:val="59"/>
    <w:rsid w:val="0042796d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BB87F-9AAB-4DA7-AEE7-E8374065F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229</TotalTime>
  <Application>LibreOffice/7.6.7.2$Linux_X86_64 LibreOffice_project/60$Build-2</Application>
  <AppVersion>15.0000</AppVersion>
  <Pages>6</Pages>
  <Words>960</Words>
  <Characters>7077</Characters>
  <CharactersWithSpaces>8065</CharactersWithSpaces>
  <Paragraphs>195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2024-11-25T15:32:00Z</dcterms:created>
  <dc:creator>Сулейманова Регина Ринатовна</dc:creator>
  <dc:description/>
  <dc:language>ru-RU</dc:language>
  <cp:lastModifiedBy/>
  <cp:lastPrinted>2024-12-12T11:26:00Z</cp:lastPrinted>
  <dcterms:modified xsi:type="dcterms:W3CDTF">2024-12-16T12:30:22Z</dcterms:modified>
  <cp:revision>58</cp:revision>
  <dc:subject>Бланк РЭК</dc:subject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