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AEBD2" wp14:editId="61F588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FB7390" w:rsidP="00216942">
      <w:pPr>
        <w:ind w:right="5103"/>
        <w:jc w:val="both"/>
        <w:rPr>
          <w:szCs w:val="28"/>
        </w:rPr>
      </w:pPr>
      <w:r>
        <w:rPr>
          <w:szCs w:val="28"/>
        </w:rPr>
        <w:t xml:space="preserve">О корректировке на 2025 год долгосрочных тарифов на тепловую энергию (мощность),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потребителям, установленных постановлением Государственного комитета Республики Татарстан </w:t>
      </w:r>
      <w:r>
        <w:rPr>
          <w:szCs w:val="28"/>
        </w:rPr>
        <w:br/>
      </w:r>
      <w:r w:rsidRPr="00FB7390">
        <w:rPr>
          <w:spacing w:val="-4"/>
          <w:szCs w:val="28"/>
        </w:rPr>
        <w:t>по тарифам от 18.11.2020 № 239-36/тэ-2020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FB7390" w:rsidRPr="00FB7390" w:rsidRDefault="00FB7390" w:rsidP="00FB7390">
      <w:pPr>
        <w:suppressAutoHyphens/>
        <w:jc w:val="center"/>
        <w:rPr>
          <w:szCs w:val="28"/>
          <w:lang w:eastAsia="zh-CN"/>
        </w:rPr>
      </w:pPr>
    </w:p>
    <w:p w:rsidR="00FB7390" w:rsidRPr="00FB7390" w:rsidRDefault="00FB7390" w:rsidP="00FB739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FB7390">
        <w:rPr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Cs w:val="28"/>
          <w:lang w:eastAsia="zh-CN"/>
        </w:rPr>
        <w:br/>
      </w:r>
      <w:r w:rsidRPr="00FB7390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FB7390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FB7390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FB7390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Cs w:val="28"/>
          <w:lang w:eastAsia="zh-CN"/>
        </w:rPr>
        <w:t>13.12.2024</w:t>
      </w:r>
      <w:r w:rsidRPr="00FB7390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br/>
      </w:r>
      <w:r w:rsidRPr="00FB7390">
        <w:rPr>
          <w:szCs w:val="28"/>
          <w:lang w:eastAsia="zh-CN"/>
        </w:rPr>
        <w:t xml:space="preserve">№ </w:t>
      </w:r>
      <w:r>
        <w:rPr>
          <w:szCs w:val="28"/>
          <w:lang w:eastAsia="zh-CN"/>
        </w:rPr>
        <w:t>32</w:t>
      </w:r>
      <w:r w:rsidRPr="00FB7390">
        <w:rPr>
          <w:szCs w:val="28"/>
          <w:lang w:eastAsia="zh-CN"/>
        </w:rPr>
        <w:t xml:space="preserve">-ПР и в целях корректировки долгосрочных тарифов на тепловую энергию (мощность) на 2025 год, уточнив плановую необходимую выручку регулируемой организации на 2025 год, Государственный комитет Республики Татарстан </w:t>
      </w:r>
      <w:r>
        <w:rPr>
          <w:szCs w:val="28"/>
          <w:lang w:eastAsia="zh-CN"/>
        </w:rPr>
        <w:br/>
      </w:r>
      <w:r w:rsidRPr="00FB7390">
        <w:rPr>
          <w:szCs w:val="28"/>
          <w:lang w:eastAsia="zh-CN"/>
        </w:rPr>
        <w:t>по тарифам ПОСТАНОВЛЯЕТ:</w:t>
      </w:r>
    </w:p>
    <w:p w:rsidR="00FB7390" w:rsidRPr="00FB7390" w:rsidRDefault="00FB7390" w:rsidP="00FB739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FB7390">
        <w:rPr>
          <w:szCs w:val="28"/>
          <w:lang w:eastAsia="zh-CN"/>
        </w:rPr>
        <w:t>1.</w:t>
      </w:r>
      <w:r>
        <w:rPr>
          <w:szCs w:val="28"/>
          <w:lang w:eastAsia="zh-CN"/>
        </w:rPr>
        <w:t xml:space="preserve"> </w:t>
      </w:r>
      <w:r w:rsidRPr="00FB7390">
        <w:rPr>
          <w:szCs w:val="28"/>
          <w:lang w:eastAsia="zh-CN"/>
        </w:rPr>
        <w:t xml:space="preserve">Скорректировать тарифы на тепловую энергию (мощность),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 на 2025 год, установленные постановлением Государственного комитета Республики Татарстан по тарифам от 18.11.2020 № 239-36/тэ-2020 </w:t>
      </w:r>
      <w:r>
        <w:rPr>
          <w:szCs w:val="28"/>
          <w:lang w:eastAsia="zh-CN"/>
        </w:rPr>
        <w:br/>
      </w:r>
      <w:r w:rsidRPr="00FB7390">
        <w:rPr>
          <w:szCs w:val="28"/>
          <w:lang w:eastAsia="zh-CN"/>
        </w:rPr>
        <w:t xml:space="preserve">«Об установлении тарифов на тепловую энергию (мощность),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потребителям, на 2021-2025 годы» (с изменениями, внесенными постановлениями </w:t>
      </w:r>
      <w:r w:rsidRPr="00FB7390">
        <w:rPr>
          <w:szCs w:val="28"/>
          <w:lang w:eastAsia="zh-CN"/>
        </w:rPr>
        <w:lastRenderedPageBreak/>
        <w:t xml:space="preserve">Государственного комитета Республики Татарстан по тарифам от 17.11.2022 </w:t>
      </w:r>
      <w:r>
        <w:rPr>
          <w:szCs w:val="28"/>
          <w:lang w:eastAsia="zh-CN"/>
        </w:rPr>
        <w:br/>
      </w:r>
      <w:r w:rsidRPr="00FB7390">
        <w:rPr>
          <w:szCs w:val="28"/>
          <w:lang w:eastAsia="zh-CN"/>
        </w:rPr>
        <w:t>№ 549-112/тэ-2022, от 08.12.2023 № 460-48/тэ-2023), изложив приложение 1 в новой редакции (прилагается).</w:t>
      </w:r>
    </w:p>
    <w:p w:rsidR="00FB7390" w:rsidRPr="00FB7390" w:rsidRDefault="00FB7390" w:rsidP="00FB7390">
      <w:pPr>
        <w:suppressAutoHyphens/>
        <w:autoSpaceDE w:val="0"/>
        <w:ind w:right="6" w:firstLine="709"/>
        <w:jc w:val="both"/>
        <w:outlineLvl w:val="0"/>
        <w:rPr>
          <w:szCs w:val="28"/>
          <w:lang w:eastAsia="zh-CN"/>
        </w:rPr>
      </w:pPr>
      <w:r w:rsidRPr="00FB7390">
        <w:rPr>
          <w:szCs w:val="28"/>
          <w:lang w:eastAsia="zh-CN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FB7390" w:rsidRPr="00FB7390" w:rsidRDefault="00FB7390" w:rsidP="00FB739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FB7390">
        <w:rPr>
          <w:szCs w:val="28"/>
          <w:lang w:eastAsia="zh-CN"/>
        </w:rPr>
        <w:t>3.</w:t>
      </w:r>
      <w:r>
        <w:rPr>
          <w:szCs w:val="28"/>
          <w:lang w:eastAsia="zh-CN"/>
        </w:rPr>
        <w:t xml:space="preserve"> </w:t>
      </w:r>
      <w:r w:rsidRPr="00FB7390">
        <w:rPr>
          <w:szCs w:val="28"/>
          <w:lang w:eastAsia="zh-CN"/>
        </w:rPr>
        <w:t>Настоящее постановление вступает в силу по истечении 10 дней после дня его официального опубликования.</w:t>
      </w:r>
    </w:p>
    <w:p w:rsidR="009265BC" w:rsidRDefault="009265BC" w:rsidP="00216942">
      <w:pPr>
        <w:ind w:firstLine="709"/>
        <w:jc w:val="both"/>
        <w:rPr>
          <w:szCs w:val="28"/>
        </w:rPr>
      </w:pPr>
    </w:p>
    <w:p w:rsidR="00FB7390" w:rsidRPr="0075085A" w:rsidRDefault="00FB7390" w:rsidP="00216942">
      <w:pPr>
        <w:ind w:firstLine="709"/>
        <w:jc w:val="both"/>
        <w:rPr>
          <w:szCs w:val="28"/>
        </w:rPr>
      </w:pPr>
    </w:p>
    <w:p w:rsidR="009265BC" w:rsidRDefault="00B17BAB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856255">
        <w:rPr>
          <w:szCs w:val="28"/>
        </w:rPr>
        <w:t>А.С. Груничев</w:t>
      </w:r>
      <w:r w:rsidR="009265BC">
        <w:rPr>
          <w:color w:val="000000"/>
          <w:sz w:val="24"/>
          <w:szCs w:val="24"/>
        </w:rPr>
        <w:t xml:space="preserve"> </w:t>
      </w:r>
    </w:p>
    <w:p w:rsidR="009265BC" w:rsidRDefault="009265BC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FB7390" w:rsidRPr="00FB7390" w:rsidRDefault="00FB7390" w:rsidP="00FB7390">
      <w:pPr>
        <w:pageBreakBefore/>
        <w:suppressAutoHyphens/>
        <w:autoSpaceDE w:val="0"/>
        <w:ind w:left="5954" w:right="-283"/>
        <w:outlineLvl w:val="0"/>
        <w:rPr>
          <w:sz w:val="24"/>
          <w:szCs w:val="24"/>
          <w:lang w:eastAsia="zh-CN"/>
        </w:rPr>
      </w:pPr>
      <w:r w:rsidRPr="00FB7390">
        <w:rPr>
          <w:sz w:val="24"/>
          <w:szCs w:val="24"/>
          <w:lang w:eastAsia="zh-CN"/>
        </w:rPr>
        <w:lastRenderedPageBreak/>
        <w:t xml:space="preserve">Приложение 1 к постановлению </w:t>
      </w:r>
    </w:p>
    <w:p w:rsidR="00FB7390" w:rsidRPr="00FB7390" w:rsidRDefault="00FB7390" w:rsidP="00FB7390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FB7390">
        <w:rPr>
          <w:sz w:val="24"/>
          <w:szCs w:val="24"/>
          <w:lang w:eastAsia="zh-CN"/>
        </w:rPr>
        <w:t xml:space="preserve">Государственного комитета </w:t>
      </w:r>
    </w:p>
    <w:p w:rsidR="00FB7390" w:rsidRPr="00FB7390" w:rsidRDefault="00FB7390" w:rsidP="00FB7390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FB7390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FB7390" w:rsidRPr="00FB7390" w:rsidRDefault="00FB7390" w:rsidP="00FB7390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FB7390">
        <w:rPr>
          <w:sz w:val="24"/>
          <w:szCs w:val="24"/>
          <w:lang w:eastAsia="zh-CN"/>
        </w:rPr>
        <w:t xml:space="preserve">от </w:t>
      </w:r>
      <w:r w:rsidRPr="00FB7390">
        <w:rPr>
          <w:sz w:val="24"/>
          <w:szCs w:val="24"/>
          <w:u w:val="single"/>
          <w:lang w:eastAsia="zh-CN"/>
        </w:rPr>
        <w:t xml:space="preserve">18.11.2020 </w:t>
      </w:r>
      <w:r w:rsidRPr="00FB7390">
        <w:rPr>
          <w:sz w:val="24"/>
          <w:szCs w:val="24"/>
          <w:lang w:eastAsia="zh-CN"/>
        </w:rPr>
        <w:t xml:space="preserve">№ </w:t>
      </w:r>
      <w:r w:rsidRPr="00FB7390">
        <w:rPr>
          <w:sz w:val="24"/>
          <w:szCs w:val="24"/>
          <w:u w:val="single"/>
          <w:lang w:eastAsia="zh-CN"/>
        </w:rPr>
        <w:t>239-36/тэ-2020</w:t>
      </w:r>
    </w:p>
    <w:p w:rsidR="00FB7390" w:rsidRPr="00FB7390" w:rsidRDefault="00FB7390" w:rsidP="00FB7390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FB7390">
        <w:rPr>
          <w:sz w:val="24"/>
          <w:szCs w:val="24"/>
          <w:lang w:eastAsia="zh-CN"/>
        </w:rPr>
        <w:t xml:space="preserve">(в редакции постановления </w:t>
      </w:r>
    </w:p>
    <w:p w:rsidR="00FB7390" w:rsidRPr="00FB7390" w:rsidRDefault="00FB7390" w:rsidP="00FB7390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FB7390">
        <w:rPr>
          <w:sz w:val="24"/>
          <w:szCs w:val="24"/>
          <w:lang w:eastAsia="zh-CN"/>
        </w:rPr>
        <w:t xml:space="preserve">Государственного комитета </w:t>
      </w:r>
    </w:p>
    <w:p w:rsidR="00FB7390" w:rsidRPr="00FB7390" w:rsidRDefault="00FB7390" w:rsidP="00FB7390">
      <w:pPr>
        <w:suppressAutoHyphens/>
        <w:autoSpaceDE w:val="0"/>
        <w:ind w:left="5954"/>
        <w:outlineLvl w:val="0"/>
        <w:rPr>
          <w:sz w:val="24"/>
          <w:szCs w:val="24"/>
          <w:lang w:eastAsia="zh-CN"/>
        </w:rPr>
      </w:pPr>
      <w:r w:rsidRPr="00FB7390">
        <w:rPr>
          <w:sz w:val="24"/>
          <w:szCs w:val="24"/>
          <w:lang w:eastAsia="zh-CN"/>
        </w:rPr>
        <w:t xml:space="preserve">Республики Татарстан по тарифам </w:t>
      </w:r>
    </w:p>
    <w:p w:rsidR="00FB7390" w:rsidRPr="00FB7390" w:rsidRDefault="00FB7390" w:rsidP="00FB7390">
      <w:pPr>
        <w:suppressAutoHyphens/>
        <w:autoSpaceDE w:val="0"/>
        <w:ind w:left="5954"/>
        <w:outlineLvl w:val="0"/>
        <w:rPr>
          <w:bCs/>
          <w:szCs w:val="28"/>
          <w:lang w:eastAsia="zh-CN"/>
        </w:rPr>
      </w:pPr>
      <w:r w:rsidRPr="00FB7390">
        <w:rPr>
          <w:sz w:val="24"/>
          <w:szCs w:val="24"/>
          <w:lang w:eastAsia="zh-CN"/>
        </w:rPr>
        <w:t>от ___________ № __</w:t>
      </w:r>
      <w:r>
        <w:rPr>
          <w:sz w:val="24"/>
          <w:szCs w:val="24"/>
          <w:lang w:eastAsia="zh-CN"/>
        </w:rPr>
        <w:t>_______</w:t>
      </w:r>
      <w:r w:rsidRPr="00FB7390">
        <w:rPr>
          <w:sz w:val="24"/>
          <w:szCs w:val="24"/>
          <w:lang w:eastAsia="zh-CN"/>
        </w:rPr>
        <w:t>________)</w:t>
      </w:r>
    </w:p>
    <w:p w:rsidR="00FB7390" w:rsidRPr="00FB7390" w:rsidRDefault="00FB7390" w:rsidP="00FB7390">
      <w:pPr>
        <w:suppressAutoHyphens/>
        <w:jc w:val="center"/>
        <w:rPr>
          <w:bCs/>
          <w:szCs w:val="28"/>
          <w:lang w:eastAsia="zh-CN"/>
        </w:rPr>
      </w:pPr>
    </w:p>
    <w:p w:rsidR="00FB7390" w:rsidRPr="00FB7390" w:rsidRDefault="00FB7390" w:rsidP="00FB7390">
      <w:pPr>
        <w:suppressAutoHyphens/>
        <w:jc w:val="center"/>
        <w:rPr>
          <w:bCs/>
          <w:szCs w:val="28"/>
          <w:lang w:eastAsia="zh-CN"/>
        </w:rPr>
      </w:pPr>
    </w:p>
    <w:p w:rsidR="00FB7390" w:rsidRPr="00FB7390" w:rsidRDefault="00FB7390" w:rsidP="00FB7390">
      <w:pPr>
        <w:suppressAutoHyphens/>
        <w:jc w:val="center"/>
        <w:rPr>
          <w:bCs/>
          <w:szCs w:val="28"/>
          <w:lang w:eastAsia="zh-CN"/>
        </w:rPr>
      </w:pPr>
      <w:r w:rsidRPr="00FB7390">
        <w:rPr>
          <w:bCs/>
          <w:szCs w:val="28"/>
          <w:lang w:eastAsia="zh-CN"/>
        </w:rPr>
        <w:t xml:space="preserve">Тарифы </w:t>
      </w:r>
      <w:r w:rsidRPr="00FB7390">
        <w:rPr>
          <w:szCs w:val="28"/>
          <w:lang w:eastAsia="zh-CN"/>
        </w:rPr>
        <w:t xml:space="preserve">на тепловую энергию (мощность), поставляемую </w:t>
      </w:r>
    </w:p>
    <w:p w:rsidR="00FB7390" w:rsidRPr="00FB7390" w:rsidRDefault="00FB7390" w:rsidP="00FB7390">
      <w:pPr>
        <w:suppressAutoHyphens/>
        <w:jc w:val="center"/>
        <w:rPr>
          <w:bCs/>
          <w:szCs w:val="28"/>
          <w:lang w:eastAsia="zh-CN"/>
        </w:rPr>
      </w:pPr>
      <w:r w:rsidRPr="00FB7390">
        <w:rPr>
          <w:bCs/>
          <w:szCs w:val="28"/>
          <w:lang w:eastAsia="zh-CN"/>
        </w:rPr>
        <w:t xml:space="preserve">ФГБУ «ЦЖКУ» Минобороны Российской Федерации потребителям, </w:t>
      </w:r>
    </w:p>
    <w:p w:rsidR="00FB7390" w:rsidRPr="00FB7390" w:rsidRDefault="00FB7390" w:rsidP="00FB7390">
      <w:pPr>
        <w:suppressAutoHyphens/>
        <w:jc w:val="center"/>
        <w:rPr>
          <w:bCs/>
          <w:szCs w:val="28"/>
          <w:lang w:eastAsia="zh-CN"/>
        </w:rPr>
      </w:pPr>
      <w:r w:rsidRPr="00FB7390">
        <w:rPr>
          <w:bCs/>
          <w:szCs w:val="28"/>
          <w:lang w:eastAsia="zh-CN"/>
        </w:rPr>
        <w:t>на 2021-2025 годы с календарной разбивкой</w:t>
      </w:r>
    </w:p>
    <w:p w:rsidR="00FB7390" w:rsidRPr="00FB7390" w:rsidRDefault="00FB7390" w:rsidP="00FB7390">
      <w:pPr>
        <w:suppressAutoHyphens/>
        <w:jc w:val="center"/>
        <w:rPr>
          <w:bCs/>
          <w:szCs w:val="28"/>
          <w:lang w:eastAsia="zh-CN"/>
        </w:rPr>
      </w:pPr>
    </w:p>
    <w:p w:rsidR="00FB7390" w:rsidRPr="00FB7390" w:rsidRDefault="00FB7390" w:rsidP="00FB7390">
      <w:pPr>
        <w:suppressAutoHyphens/>
        <w:jc w:val="center"/>
        <w:rPr>
          <w:bCs/>
          <w:szCs w:val="28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2"/>
        <w:gridCol w:w="2072"/>
        <w:gridCol w:w="1749"/>
        <w:gridCol w:w="1643"/>
        <w:gridCol w:w="813"/>
        <w:gridCol w:w="865"/>
        <w:gridCol w:w="855"/>
        <w:gridCol w:w="790"/>
        <w:gridCol w:w="1163"/>
      </w:tblGrid>
      <w:tr w:rsidR="00FB7390" w:rsidRPr="00FB7390" w:rsidTr="00B17BAB">
        <w:trPr>
          <w:trHeight w:val="284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 xml:space="preserve">№ </w:t>
            </w:r>
          </w:p>
          <w:p w:rsidR="00FB7390" w:rsidRPr="00FB7390" w:rsidRDefault="00FB7390" w:rsidP="00FB739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15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Острый и редуциро-ванный пар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7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jc w:val="center"/>
              <w:rPr>
                <w:sz w:val="20"/>
                <w:lang w:eastAsia="zh-CN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FB7390" w:rsidRPr="00FB7390" w:rsidRDefault="00FB7390" w:rsidP="00FB7390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до 2,5 кг/см</w:t>
            </w:r>
            <w:r w:rsidRPr="00FB739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от 2,5 до 7,0 кг/см</w:t>
            </w:r>
            <w:r w:rsidRPr="00FB739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от 7,0 до 13,0 кг/см</w:t>
            </w:r>
            <w:r w:rsidRPr="00FB739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свыше</w:t>
            </w:r>
          </w:p>
          <w:p w:rsidR="00FB7390" w:rsidRPr="00FB7390" w:rsidRDefault="00FB7390" w:rsidP="00FB7390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13,0 кг/см</w:t>
            </w:r>
            <w:r w:rsidRPr="00FB739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0"/>
                <w:lang w:eastAsia="zh-CN"/>
              </w:rPr>
            </w:pPr>
          </w:p>
        </w:tc>
        <w:tc>
          <w:tcPr>
            <w:tcW w:w="477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Город Казань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7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ФГБУ «ЦЖКУ» Минобороны Российской Федерации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77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одноставочный, руб./Гкал 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с 01.01.2021</w:t>
            </w:r>
          </w:p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по 30.06.2021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1 548,13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с 01.07.2021</w:t>
            </w:r>
          </w:p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по 31.12.2021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1 604,80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с 01.01.2022</w:t>
            </w:r>
          </w:p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по 30.06.2022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1 604,80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01.07.2022</w:t>
            </w:r>
          </w:p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31.12.2022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1 68</w:t>
            </w:r>
            <w:bookmarkStart w:id="0" w:name="_GoBack"/>
            <w:bookmarkEnd w:id="0"/>
            <w:r w:rsidRPr="00FB7390">
              <w:rPr>
                <w:sz w:val="24"/>
                <w:szCs w:val="24"/>
                <w:lang w:eastAsia="zh-CN"/>
              </w:rPr>
              <w:t>6,15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01.01.2023</w:t>
            </w:r>
          </w:p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31.12.2023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1 787,17 &lt;*&gt;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01.01.2024</w:t>
            </w:r>
          </w:p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30.06.2024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1 787,17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01.07.2024</w:t>
            </w:r>
          </w:p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31.12.2024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1 989,53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01.01.2025</w:t>
            </w:r>
          </w:p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FB7390">
              <w:rPr>
                <w:sz w:val="24"/>
                <w:szCs w:val="24"/>
                <w:lang w:val="en-US" w:eastAsia="zh-CN"/>
              </w:rPr>
              <w:t>1 989,53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01.07.2025</w:t>
            </w:r>
          </w:p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FB7390">
              <w:rPr>
                <w:sz w:val="24"/>
                <w:szCs w:val="24"/>
                <w:lang w:val="en-US" w:eastAsia="zh-CN"/>
              </w:rPr>
              <w:t>2 297,80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477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Население (тарифы указаны с учетом НДС)</w:t>
            </w:r>
            <w:r w:rsidRPr="00FB7390">
              <w:rPr>
                <w:sz w:val="22"/>
                <w:szCs w:val="24"/>
                <w:lang w:eastAsia="zh-CN"/>
              </w:rPr>
              <w:t xml:space="preserve"> </w:t>
            </w:r>
            <w:r w:rsidRPr="00FB7390">
              <w:rPr>
                <w:sz w:val="24"/>
                <w:szCs w:val="28"/>
                <w:lang w:eastAsia="zh-CN"/>
              </w:rPr>
              <w:t>&lt;**&gt;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  <w:p w:rsidR="00FB7390" w:rsidRPr="00FB7390" w:rsidRDefault="00FB7390" w:rsidP="00FB739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одноставочный, руб./Гкал 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с 01.01.2021</w:t>
            </w:r>
          </w:p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по 30.06.2021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1 857,76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с 01.07.2021</w:t>
            </w:r>
          </w:p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по 31.12.2021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1 925,76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8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с 01.01.2022</w:t>
            </w:r>
          </w:p>
          <w:p w:rsidR="00FB7390" w:rsidRPr="00FB7390" w:rsidRDefault="00FB7390" w:rsidP="00FB7390">
            <w:pPr>
              <w:suppressAutoHyphens/>
              <w:ind w:left="-107" w:right="-111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8"/>
                <w:lang w:eastAsia="zh-CN"/>
              </w:rPr>
              <w:t>по 30.06.2022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1 925,76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01.07.2022</w:t>
            </w:r>
          </w:p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lastRenderedPageBreak/>
              <w:t>по 31.12.2022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lastRenderedPageBreak/>
              <w:t>2 023,38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01.01.2023</w:t>
            </w:r>
          </w:p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31.12.2023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2 144,60 &lt;*&gt;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01.01.2024</w:t>
            </w:r>
          </w:p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30.06.2024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2 144,60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01.07.2024</w:t>
            </w:r>
          </w:p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31.12.2024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2 387,44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01.01.2025</w:t>
            </w:r>
          </w:p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FB7390">
              <w:rPr>
                <w:sz w:val="24"/>
                <w:szCs w:val="24"/>
                <w:lang w:val="en-US" w:eastAsia="zh-CN"/>
              </w:rPr>
              <w:t>2 387,44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FB7390" w:rsidRPr="00FB7390" w:rsidTr="00B17BAB">
        <w:trPr>
          <w:trHeight w:val="284"/>
        </w:trPr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ind w:left="44"/>
              <w:rPr>
                <w:sz w:val="24"/>
                <w:szCs w:val="24"/>
                <w:lang w:eastAsia="zh-CN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ind w:left="-109" w:right="-102"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с 01.07.2025</w:t>
            </w:r>
          </w:p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FB7390">
              <w:rPr>
                <w:sz w:val="24"/>
                <w:szCs w:val="24"/>
                <w:lang w:val="en-US" w:eastAsia="zh-CN"/>
              </w:rPr>
              <w:t>2 757,36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90" w:rsidRPr="00FB7390" w:rsidRDefault="00FB7390" w:rsidP="00FB739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B7390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FB7390" w:rsidRPr="00FB7390" w:rsidRDefault="00FB7390" w:rsidP="00FB7390">
      <w:pPr>
        <w:widowControl w:val="0"/>
        <w:suppressAutoHyphens/>
        <w:ind w:right="-1"/>
        <w:jc w:val="both"/>
        <w:rPr>
          <w:sz w:val="10"/>
          <w:szCs w:val="10"/>
          <w:lang w:eastAsia="zh-CN"/>
        </w:rPr>
      </w:pPr>
    </w:p>
    <w:p w:rsidR="00FB7390" w:rsidRPr="00FB7390" w:rsidRDefault="00FB7390" w:rsidP="00FB7390">
      <w:pPr>
        <w:suppressAutoHyphens/>
        <w:jc w:val="both"/>
        <w:rPr>
          <w:sz w:val="24"/>
          <w:szCs w:val="24"/>
          <w:lang w:eastAsia="zh-CN"/>
        </w:rPr>
      </w:pPr>
      <w:r w:rsidRPr="00FB7390">
        <w:rPr>
          <w:sz w:val="24"/>
          <w:szCs w:val="24"/>
          <w:lang w:eastAsia="zh-CN"/>
        </w:rPr>
        <w:t>&lt;*&gt; Тарифы на 2023 год, скорректированные постановлением Государственного комитета Республики Татарстан по тарифам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введены в действие с 1 декабря 2022 года.</w:t>
      </w:r>
    </w:p>
    <w:p w:rsidR="00FB7390" w:rsidRPr="00FB7390" w:rsidRDefault="00FB7390" w:rsidP="00FB7390">
      <w:pPr>
        <w:suppressAutoHyphens/>
        <w:jc w:val="both"/>
        <w:rPr>
          <w:szCs w:val="28"/>
          <w:lang w:eastAsia="zh-CN"/>
        </w:rPr>
      </w:pPr>
      <w:r w:rsidRPr="00FB7390">
        <w:rPr>
          <w:sz w:val="24"/>
          <w:szCs w:val="24"/>
          <w:lang w:eastAsia="zh-CN"/>
        </w:rPr>
        <w:t>&lt;**&gt;</w:t>
      </w:r>
      <w:r w:rsidRPr="00FB7390">
        <w:rPr>
          <w:szCs w:val="28"/>
          <w:lang w:eastAsia="zh-CN"/>
        </w:rPr>
        <w:t xml:space="preserve"> </w:t>
      </w:r>
      <w:r w:rsidRPr="00FB7390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9265BC" w:rsidP="009265BC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</w:p>
    <w:sectPr w:rsidR="00216942" w:rsidRPr="00216942" w:rsidSect="000A512B">
      <w:headerReference w:type="even" r:id="rId9"/>
      <w:headerReference w:type="default" r:id="rId10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584237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BA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37CB1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512B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5687C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17BAB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B7390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20E9"/>
  <w15:docId w15:val="{C3A4E3AE-B27B-428F-B4FA-885690CB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FE64-A226-4A91-8B92-56447E1C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4</cp:revision>
  <cp:lastPrinted>2024-12-02T10:45:00Z</cp:lastPrinted>
  <dcterms:created xsi:type="dcterms:W3CDTF">2024-12-14T07:45:00Z</dcterms:created>
  <dcterms:modified xsi:type="dcterms:W3CDTF">2024-12-14T09:11:00Z</dcterms:modified>
</cp:coreProperties>
</file>