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363ED" w:rsidRPr="00FB211B" w:rsidTr="00A854D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363ED" w:rsidRPr="00FB211B" w:rsidRDefault="00E363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00CFAE" wp14:editId="1B2C322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E363ED" w:rsidRPr="00FB211B" w:rsidRDefault="00E363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E363ED" w:rsidRPr="00FB211B" w:rsidRDefault="00E363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E363ED" w:rsidRPr="00FB211B" w:rsidRDefault="00E363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E363ED" w:rsidRPr="00FB211B" w:rsidRDefault="00E363ED" w:rsidP="00A854D7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363ED" w:rsidRPr="00FB211B" w:rsidRDefault="00E363ED" w:rsidP="00A854D7">
            <w:pPr>
              <w:jc w:val="center"/>
              <w:rPr>
                <w:szCs w:val="28"/>
              </w:rPr>
            </w:pPr>
          </w:p>
          <w:p w:rsidR="00E363ED" w:rsidRPr="00FB211B" w:rsidRDefault="00E363ED" w:rsidP="00A854D7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363ED" w:rsidRPr="00FB211B" w:rsidRDefault="00E363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E363ED" w:rsidRPr="00FB211B" w:rsidRDefault="00E363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E363ED" w:rsidRPr="00FB211B" w:rsidRDefault="00E363ED" w:rsidP="00A854D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E363ED" w:rsidRPr="00FB211B" w:rsidRDefault="00E363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E363ED" w:rsidRPr="00FB211B" w:rsidRDefault="00E363ED" w:rsidP="00A854D7">
            <w:pPr>
              <w:rPr>
                <w:szCs w:val="28"/>
              </w:rPr>
            </w:pPr>
          </w:p>
        </w:tc>
      </w:tr>
    </w:tbl>
    <w:p w:rsidR="00E363ED" w:rsidRPr="00FB211B" w:rsidRDefault="00E363ED" w:rsidP="00E363ED">
      <w:pPr>
        <w:tabs>
          <w:tab w:val="left" w:pos="284"/>
        </w:tabs>
        <w:rPr>
          <w:i/>
          <w:szCs w:val="28"/>
        </w:rPr>
      </w:pPr>
    </w:p>
    <w:p w:rsidR="00E363ED" w:rsidRPr="00FB211B" w:rsidRDefault="00E363ED" w:rsidP="00E363ED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E363ED" w:rsidRPr="00FB211B" w:rsidRDefault="00E363ED" w:rsidP="00E363ED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r w:rsidRPr="00FB211B">
        <w:rPr>
          <w:szCs w:val="28"/>
        </w:rPr>
        <w:t>г. Казань</w:t>
      </w:r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1274" w:type="dxa"/>
        <w:tblLook w:val="04A0" w:firstRow="1" w:lastRow="0" w:firstColumn="1" w:lastColumn="0" w:noHBand="0" w:noVBand="1"/>
      </w:tblPr>
      <w:tblGrid>
        <w:gridCol w:w="6062"/>
        <w:gridCol w:w="5212"/>
      </w:tblGrid>
      <w:tr w:rsidR="00F44D42" w:rsidRPr="005D1E9A" w:rsidTr="00972827">
        <w:tc>
          <w:tcPr>
            <w:tcW w:w="6062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972827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F04363">
              <w:rPr>
                <w:rFonts w:eastAsia="Calibri"/>
                <w:szCs w:val="28"/>
              </w:rPr>
              <w:t xml:space="preserve">на питьевую воду и </w:t>
            </w:r>
            <w:r w:rsidR="00F04363" w:rsidRPr="00D053CF">
              <w:rPr>
                <w:rFonts w:eastAsia="Calibri"/>
                <w:szCs w:val="28"/>
              </w:rPr>
              <w:t>техническую воду для Общества с ограниченной ответственностью «Управление по подготовке технологической жидкости для п</w:t>
            </w:r>
            <w:r w:rsidR="00F04363">
              <w:rPr>
                <w:rFonts w:eastAsia="Calibri"/>
                <w:szCs w:val="28"/>
              </w:rPr>
              <w:t>оддержания пластового давления»</w:t>
            </w:r>
            <w:r w:rsidR="00D4126D">
              <w:rPr>
                <w:rFonts w:eastAsia="Calibri"/>
                <w:szCs w:val="28"/>
              </w:rPr>
              <w:t xml:space="preserve"> для потребителей</w:t>
            </w:r>
            <w:r w:rsidR="00972827">
              <w:rPr>
                <w:rFonts w:eastAsia="Calibri"/>
                <w:szCs w:val="28"/>
              </w:rPr>
              <w:t xml:space="preserve"> Азнакаевского, Альметьевского, Бавлинского, Бугульминского, Елабужского, Заинского, Лениногорского, Нижнекамского, Нурлатского, Сармановского, Тукаевского муниципальных районов, муниципального образования «город Набережные Челны»</w:t>
            </w:r>
            <w:r w:rsidR="000461F7">
              <w:rPr>
                <w:rFonts w:eastAsia="Calibri"/>
                <w:szCs w:val="28"/>
              </w:rPr>
              <w:t xml:space="preserve"> </w:t>
            </w:r>
            <w:r w:rsidR="00D4126D">
              <w:rPr>
                <w:rFonts w:eastAsia="Calibri"/>
                <w:szCs w:val="28"/>
              </w:rPr>
              <w:br/>
            </w:r>
            <w:r w:rsidR="00F04363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363ED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E363ED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E363ED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E363ED" w:rsidRPr="00C9664A">
        <w:rPr>
          <w:szCs w:val="28"/>
        </w:rPr>
        <w:t>от 14.12.2023 № 58-ПР</w:t>
      </w:r>
      <w:r w:rsidR="00E363ED" w:rsidRPr="000A026E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972827" w:rsidRPr="00FF2D88" w:rsidRDefault="00972827" w:rsidP="00972827">
      <w:pPr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972827" w:rsidRPr="00FF2D88" w:rsidRDefault="00972827" w:rsidP="00972827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</w:t>
      </w:r>
      <w:r w:rsidR="0003418A">
        <w:rPr>
          <w:szCs w:val="28"/>
        </w:rPr>
        <w:t>техническую воду</w:t>
      </w:r>
      <w:r w:rsidRPr="00FF2D88">
        <w:rPr>
          <w:szCs w:val="28"/>
        </w:rPr>
        <w:t xml:space="preserve"> для </w:t>
      </w:r>
      <w:r w:rsidRPr="00D053CF">
        <w:rPr>
          <w:rFonts w:eastAsia="Calibri"/>
          <w:szCs w:val="28"/>
        </w:rPr>
        <w:t xml:space="preserve">Общества с ограниченной ответственностью «Управление по подготовке технологической жидкости </w:t>
      </w:r>
      <w:r w:rsidR="00E363ED">
        <w:rPr>
          <w:rFonts w:eastAsia="Calibri"/>
          <w:szCs w:val="28"/>
        </w:rPr>
        <w:br/>
      </w:r>
      <w:r w:rsidRPr="00D053CF">
        <w:rPr>
          <w:rFonts w:eastAsia="Calibri"/>
          <w:szCs w:val="28"/>
        </w:rPr>
        <w:t>для п</w:t>
      </w:r>
      <w:r>
        <w:rPr>
          <w:rFonts w:eastAsia="Calibri"/>
          <w:szCs w:val="28"/>
        </w:rPr>
        <w:t>оддержания пластового давления»</w:t>
      </w:r>
      <w:r w:rsidRPr="00D9264F">
        <w:rPr>
          <w:rFonts w:eastAsia="Calibri"/>
          <w:szCs w:val="28"/>
        </w:rPr>
        <w:t xml:space="preserve"> </w:t>
      </w:r>
      <w:r w:rsidR="00D4126D">
        <w:rPr>
          <w:rFonts w:eastAsia="Calibri"/>
          <w:szCs w:val="28"/>
        </w:rPr>
        <w:t>для потребителей</w:t>
      </w:r>
      <w:r w:rsidR="00D4126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Азнакаевского, Альметьевского, Бавлинского, Бугульминского, Елабужского, Заинского, Лениногорского, Нижнекамского, Нурлатского, Сармановского, Тукаевского муниципальных районов, муниципального образования «город Набережные Челны»</w:t>
      </w:r>
      <w:r w:rsidRPr="00FF2D88">
        <w:rPr>
          <w:szCs w:val="28"/>
        </w:rPr>
        <w:t xml:space="preserve"> (далее</w:t>
      </w:r>
      <w:r w:rsidR="00D4126D">
        <w:rPr>
          <w:szCs w:val="28"/>
        </w:rPr>
        <w:t xml:space="preserve"> </w:t>
      </w:r>
      <w:bookmarkStart w:id="0" w:name="_GoBack"/>
      <w:bookmarkEnd w:id="0"/>
      <w:r w:rsidRPr="00FF2D88">
        <w:rPr>
          <w:szCs w:val="28"/>
        </w:rPr>
        <w:t>– ООО «</w:t>
      </w:r>
      <w:r>
        <w:rPr>
          <w:rFonts w:eastAsia="Calibri"/>
          <w:szCs w:val="28"/>
        </w:rPr>
        <w:t>УПТЖ для ППД</w:t>
      </w:r>
      <w:r w:rsidRPr="00FF2D88">
        <w:rPr>
          <w:szCs w:val="28"/>
        </w:rPr>
        <w:t>»), осуществляющего холодное водоснабжение, с календарной разбивкой согласно приложениям 1-2 к настоящему постановлению;</w:t>
      </w:r>
    </w:p>
    <w:p w:rsidR="00972827" w:rsidRPr="00FF2D88" w:rsidRDefault="00972827" w:rsidP="00972827">
      <w:pPr>
        <w:ind w:firstLine="709"/>
        <w:jc w:val="both"/>
        <w:rPr>
          <w:szCs w:val="28"/>
        </w:rPr>
      </w:pPr>
      <w:r w:rsidRPr="00FF2D88">
        <w:rPr>
          <w:szCs w:val="28"/>
        </w:rPr>
        <w:lastRenderedPageBreak/>
        <w:t xml:space="preserve">долгосрочные параметры регулирования тарифов на </w:t>
      </w:r>
      <w:r w:rsidR="0003418A" w:rsidRPr="00FF2D88">
        <w:rPr>
          <w:szCs w:val="28"/>
        </w:rPr>
        <w:t xml:space="preserve">питьевую воду </w:t>
      </w:r>
      <w:r w:rsidR="00E363ED">
        <w:rPr>
          <w:szCs w:val="28"/>
        </w:rPr>
        <w:br/>
      </w:r>
      <w:r w:rsidR="0003418A" w:rsidRPr="00FF2D88">
        <w:rPr>
          <w:szCs w:val="28"/>
        </w:rPr>
        <w:t xml:space="preserve">и </w:t>
      </w:r>
      <w:r w:rsidR="0003418A">
        <w:rPr>
          <w:szCs w:val="28"/>
        </w:rPr>
        <w:t>техническую воду</w:t>
      </w:r>
      <w:r w:rsidRPr="00FF2D88">
        <w:rPr>
          <w:szCs w:val="28"/>
        </w:rPr>
        <w:t xml:space="preserve"> для ООО «</w:t>
      </w:r>
      <w:r>
        <w:rPr>
          <w:rFonts w:eastAsia="Calibri"/>
          <w:szCs w:val="28"/>
        </w:rPr>
        <w:t>УПТЖ для ППД</w:t>
      </w:r>
      <w:r w:rsidRPr="00FF2D88">
        <w:rPr>
          <w:szCs w:val="28"/>
        </w:rPr>
        <w:t>», осуществляющего холодное водоснабжение,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972827" w:rsidRPr="00FF2D88" w:rsidRDefault="00972827" w:rsidP="00972827">
      <w:pPr>
        <w:ind w:firstLine="709"/>
        <w:jc w:val="both"/>
        <w:rPr>
          <w:szCs w:val="28"/>
        </w:rPr>
      </w:pPr>
      <w:r w:rsidRPr="00FF2D88">
        <w:rPr>
          <w:szCs w:val="28"/>
        </w:rPr>
        <w:t>2. ООО «</w:t>
      </w:r>
      <w:r>
        <w:rPr>
          <w:rFonts w:eastAsia="Calibri"/>
          <w:szCs w:val="28"/>
        </w:rPr>
        <w:t>УПТЖ для ППД</w:t>
      </w:r>
      <w:r w:rsidRPr="00FF2D88">
        <w:rPr>
          <w:szCs w:val="28"/>
        </w:rPr>
        <w:t xml:space="preserve">», осуществляющему холодное водоснабжение, раскрыть информацию, подлежащую свободному доступу, в соответствии </w:t>
      </w:r>
      <w:r w:rsidR="00E363ED">
        <w:rPr>
          <w:szCs w:val="28"/>
        </w:rPr>
        <w:br/>
      </w:r>
      <w:r w:rsidRPr="00FF2D88">
        <w:rPr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972827" w:rsidRDefault="00972827" w:rsidP="00972827">
      <w:pPr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972827" w:rsidRDefault="00972827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972827">
        <w:rPr>
          <w:sz w:val="24"/>
          <w:szCs w:val="24"/>
        </w:rPr>
        <w:t xml:space="preserve"> 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F04363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</w:t>
      </w:r>
      <w:r w:rsidR="00F04363">
        <w:rPr>
          <w:bCs/>
          <w:color w:val="000000"/>
          <w:szCs w:val="28"/>
        </w:rPr>
        <w:t>техническую воду</w:t>
      </w:r>
      <w:r w:rsidRPr="00801F5C">
        <w:rPr>
          <w:bCs/>
          <w:color w:val="000000"/>
          <w:szCs w:val="28"/>
        </w:rPr>
        <w:t xml:space="preserve"> для </w:t>
      </w:r>
      <w:r w:rsidR="00F04363">
        <w:rPr>
          <w:rFonts w:eastAsia="Calibri"/>
          <w:szCs w:val="28"/>
        </w:rPr>
        <w:t>ООО </w:t>
      </w:r>
      <w:r w:rsidR="00F04363" w:rsidRPr="0094501C">
        <w:rPr>
          <w:rFonts w:eastAsia="Calibri"/>
          <w:szCs w:val="28"/>
        </w:rPr>
        <w:t>«</w:t>
      </w:r>
      <w:r w:rsidR="00F04363">
        <w:rPr>
          <w:rFonts w:eastAsia="Calibri"/>
          <w:szCs w:val="28"/>
        </w:rPr>
        <w:t>УПТЖ для ППД</w:t>
      </w:r>
      <w:r w:rsidR="00F04363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холодное водоснабжение,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972"/>
        <w:gridCol w:w="3993"/>
        <w:gridCol w:w="2487"/>
        <w:gridCol w:w="2478"/>
      </w:tblGrid>
      <w:tr w:rsidR="00F04363" w:rsidRPr="003F5529" w:rsidTr="00BC15EE">
        <w:trPr>
          <w:trHeight w:val="20"/>
          <w:jc w:val="center"/>
        </w:trPr>
        <w:tc>
          <w:tcPr>
            <w:tcW w:w="290" w:type="pct"/>
            <w:shd w:val="clear" w:color="auto" w:fill="auto"/>
            <w:vAlign w:val="center"/>
          </w:tcPr>
          <w:p w:rsidR="00F04363" w:rsidRPr="003F5529" w:rsidRDefault="00F04363" w:rsidP="000461F7">
            <w:pPr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№</w:t>
            </w:r>
          </w:p>
          <w:p w:rsidR="00F04363" w:rsidRPr="003F5529" w:rsidRDefault="00F04363" w:rsidP="000461F7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п/п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F04363" w:rsidRPr="003F5529" w:rsidRDefault="00F04363" w:rsidP="000461F7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3F5529" w:rsidRDefault="00F04363" w:rsidP="000461F7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0461F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Тариф на</w:t>
            </w:r>
          </w:p>
          <w:p w:rsidR="00F04363" w:rsidRPr="003F5529" w:rsidRDefault="00F04363" w:rsidP="000461F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питьевую воду</w:t>
            </w:r>
          </w:p>
          <w:p w:rsidR="00F04363" w:rsidRPr="003F5529" w:rsidRDefault="00F04363" w:rsidP="000461F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(одноставочный),</w:t>
            </w:r>
          </w:p>
          <w:p w:rsidR="00F04363" w:rsidRPr="003F5529" w:rsidRDefault="00F04363" w:rsidP="000461F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руб./куб.м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0461F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Тариф на</w:t>
            </w:r>
          </w:p>
          <w:p w:rsidR="00F04363" w:rsidRPr="003F5529" w:rsidRDefault="00F04363" w:rsidP="000461F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техническую воду</w:t>
            </w:r>
          </w:p>
          <w:p w:rsidR="00F04363" w:rsidRPr="003F5529" w:rsidRDefault="00F04363" w:rsidP="000461F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(одноставочный),</w:t>
            </w:r>
          </w:p>
          <w:p w:rsidR="00F04363" w:rsidRPr="003F5529" w:rsidRDefault="00F04363" w:rsidP="000461F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руб./куб.м</w:t>
            </w: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shd w:val="clear" w:color="auto" w:fill="auto"/>
            <w:vAlign w:val="center"/>
          </w:tcPr>
          <w:p w:rsidR="00F04363" w:rsidRPr="003F5529" w:rsidRDefault="00F04363" w:rsidP="000461F7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F04363" w:rsidRPr="003F5529" w:rsidRDefault="00F04363" w:rsidP="000461F7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ООО «УПТЖ для ППД» (тарифы указаны без учета НДС),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3F5529" w:rsidRDefault="00F04363" w:rsidP="000461F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1" w:type="pct"/>
            <w:vAlign w:val="center"/>
          </w:tcPr>
          <w:p w:rsidR="00F04363" w:rsidRPr="003F5529" w:rsidRDefault="00F04363" w:rsidP="000461F7">
            <w:pPr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F04363" w:rsidRPr="003F5529" w:rsidRDefault="00F04363" w:rsidP="000461F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443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</w:t>
            </w:r>
          </w:p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потребители Круглопольского сельского поселения Тукаевского муниципального района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8,56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8,82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водоисточников - потребители муниципального образования «город Заинск» 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11,63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муниципального образования «город Альметьевск»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371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муниципального образования «поселок городского типа Джалиль»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19,07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19,68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водоисточников - потребители муниципального образования «город Азнакаево» 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21,26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21,95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муниципального образования «город Лениногорск»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22,22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22,92</w:t>
            </w:r>
          </w:p>
        </w:tc>
        <w:tc>
          <w:tcPr>
            <w:tcW w:w="838" w:type="pct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04363" w:rsidRPr="003F5529" w:rsidTr="00BC15EE">
        <w:trPr>
          <w:trHeight w:val="441"/>
          <w:jc w:val="center"/>
        </w:trPr>
        <w:tc>
          <w:tcPr>
            <w:tcW w:w="29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1.7</w:t>
            </w:r>
          </w:p>
        </w:tc>
        <w:tc>
          <w:tcPr>
            <w:tcW w:w="168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водоисточников - потребители </w:t>
            </w:r>
            <w:r w:rsidRPr="003F5529">
              <w:rPr>
                <w:bCs/>
                <w:sz w:val="22"/>
                <w:szCs w:val="22"/>
              </w:rPr>
              <w:lastRenderedPageBreak/>
              <w:t>муниципальных образований «город Набережные Челны», «город Нижнекамск», п. Нефтебаза Тукаевского муниципального района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lastRenderedPageBreak/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</w:tcPr>
          <w:p w:rsidR="00F04363" w:rsidRPr="00726C24" w:rsidRDefault="00726C24" w:rsidP="00F04363">
            <w:pPr>
              <w:jc w:val="center"/>
              <w:rPr>
                <w:bCs/>
                <w:sz w:val="22"/>
                <w:szCs w:val="22"/>
              </w:rPr>
            </w:pPr>
            <w:r w:rsidRPr="00726C24">
              <w:rPr>
                <w:bCs/>
                <w:sz w:val="22"/>
                <w:szCs w:val="22"/>
              </w:rPr>
              <w:t>7,29</w:t>
            </w: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F04363" w:rsidRPr="00726C24" w:rsidRDefault="00726C24" w:rsidP="00F04363">
            <w:pPr>
              <w:jc w:val="center"/>
              <w:rPr>
                <w:sz w:val="22"/>
                <w:szCs w:val="22"/>
              </w:rPr>
            </w:pPr>
            <w:r w:rsidRPr="00726C24">
              <w:rPr>
                <w:sz w:val="22"/>
                <w:szCs w:val="22"/>
              </w:rPr>
              <w:t>7,29</w:t>
            </w:r>
          </w:p>
        </w:tc>
      </w:tr>
      <w:tr w:rsidR="00F04363" w:rsidRPr="003F5529" w:rsidTr="00BC15EE">
        <w:trPr>
          <w:trHeight w:val="702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1.8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муниципальных образований «город Азнакаево», «город Альметьевск», «город Бавлы», «город Бугульма», «город Заинск», «город Нурлат», «поселок городского типа Джалиль»</w:t>
            </w:r>
          </w:p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(вода до водоподготовки)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F04363" w:rsidRPr="003F5529" w:rsidRDefault="00150BFF" w:rsidP="00F043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33,46</w:t>
            </w: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F04363" w:rsidRPr="003F5529" w:rsidRDefault="00150BFF" w:rsidP="00F043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34,61</w:t>
            </w:r>
          </w:p>
        </w:tc>
      </w:tr>
      <w:tr w:rsidR="00F04363" w:rsidRPr="003F5529" w:rsidTr="00BC15EE">
        <w:trPr>
          <w:trHeight w:val="751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1.9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муниципальных образований «город Азнакаево», «город Альметьевск», «город Бавлы», «город Бугульма», «город Елабуга», «город Заинск», «город Нурлат», «поселок городского типа Джалиль» (для системы поддержания пластового давления)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33,66</w:t>
            </w:r>
          </w:p>
        </w:tc>
      </w:tr>
      <w:tr w:rsidR="00F04363" w:rsidRPr="003F5529" w:rsidTr="00BC15EE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F04363" w:rsidRPr="003F5529" w:rsidRDefault="00F04363" w:rsidP="00F043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F04363" w:rsidRPr="008D79CC" w:rsidRDefault="00F04363" w:rsidP="00F0436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1" w:type="pct"/>
            <w:vAlign w:val="center"/>
          </w:tcPr>
          <w:p w:rsidR="00F04363" w:rsidRPr="003F5529" w:rsidRDefault="00F04363" w:rsidP="00F0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F04363" w:rsidRPr="003F5529" w:rsidRDefault="00150BFF" w:rsidP="00F04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34,79</w:t>
            </w:r>
          </w:p>
        </w:tc>
      </w:tr>
    </w:tbl>
    <w:p w:rsidR="00F04363" w:rsidRDefault="00F04363" w:rsidP="006B204A">
      <w:pPr>
        <w:ind w:right="140"/>
        <w:jc w:val="center"/>
        <w:rPr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E363ED" w:rsidRDefault="002A08BE" w:rsidP="002A08BE">
      <w:pPr>
        <w:ind w:right="140"/>
        <w:rPr>
          <w:szCs w:val="28"/>
        </w:rPr>
      </w:pPr>
      <w:r w:rsidRPr="00E363ED">
        <w:rPr>
          <w:szCs w:val="28"/>
        </w:rPr>
        <w:t xml:space="preserve">Отдел организации, контроля и сопровождения </w:t>
      </w:r>
    </w:p>
    <w:p w:rsidR="002A08BE" w:rsidRPr="00E363ED" w:rsidRDefault="002A08BE" w:rsidP="002A08BE">
      <w:pPr>
        <w:ind w:right="140"/>
        <w:rPr>
          <w:szCs w:val="28"/>
        </w:rPr>
      </w:pPr>
      <w:r w:rsidRPr="00E363ED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E363ED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972827" w:rsidRPr="00424800" w:rsidRDefault="00972827" w:rsidP="00972827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DE0FAD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972827" w:rsidRPr="00424800" w:rsidRDefault="00972827" w:rsidP="0097282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972827" w:rsidRPr="00424800" w:rsidRDefault="00972827" w:rsidP="0097282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972827" w:rsidRPr="00B624B4" w:rsidRDefault="00972827" w:rsidP="0097282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972827" w:rsidRDefault="00972827" w:rsidP="00972827">
      <w:pPr>
        <w:jc w:val="center"/>
        <w:rPr>
          <w:bCs/>
          <w:szCs w:val="28"/>
        </w:rPr>
      </w:pPr>
    </w:p>
    <w:p w:rsidR="00972827" w:rsidRDefault="00972827" w:rsidP="00972827">
      <w:pPr>
        <w:jc w:val="center"/>
        <w:rPr>
          <w:bCs/>
          <w:szCs w:val="28"/>
        </w:rPr>
      </w:pPr>
    </w:p>
    <w:p w:rsidR="00972827" w:rsidRDefault="00972827" w:rsidP="00972827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</w:t>
      </w:r>
      <w:r>
        <w:rPr>
          <w:bCs/>
          <w:color w:val="000000"/>
          <w:szCs w:val="28"/>
        </w:rPr>
        <w:t>техническую воду</w:t>
      </w:r>
      <w:r w:rsidRPr="00801F5C">
        <w:rPr>
          <w:bCs/>
          <w:color w:val="000000"/>
          <w:szCs w:val="28"/>
        </w:rPr>
        <w:t xml:space="preserve"> для </w:t>
      </w:r>
      <w:r>
        <w:rPr>
          <w:rFonts w:eastAsia="Calibri"/>
          <w:szCs w:val="28"/>
        </w:rPr>
        <w:t>ООО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УПТЖ для ППД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972827" w:rsidRPr="00801F5C" w:rsidRDefault="00972827" w:rsidP="00972827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холодное водоснабжение, на </w:t>
      </w:r>
      <w:r w:rsidR="00DE0FAD"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 w:rsidR="00DE0FAD"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972827" w:rsidRDefault="00972827" w:rsidP="00972827">
      <w:pPr>
        <w:ind w:right="140"/>
        <w:jc w:val="center"/>
        <w:rPr>
          <w:szCs w:val="28"/>
        </w:rPr>
      </w:pPr>
    </w:p>
    <w:p w:rsidR="00972827" w:rsidRDefault="00972827" w:rsidP="00972827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972"/>
        <w:gridCol w:w="3993"/>
        <w:gridCol w:w="2487"/>
        <w:gridCol w:w="2478"/>
      </w:tblGrid>
      <w:tr w:rsidR="00972827" w:rsidRPr="003F5529" w:rsidTr="00DE0FAD">
        <w:trPr>
          <w:trHeight w:val="20"/>
          <w:jc w:val="center"/>
        </w:trPr>
        <w:tc>
          <w:tcPr>
            <w:tcW w:w="290" w:type="pct"/>
            <w:shd w:val="clear" w:color="auto" w:fill="auto"/>
            <w:vAlign w:val="center"/>
          </w:tcPr>
          <w:p w:rsidR="00972827" w:rsidRPr="003F5529" w:rsidRDefault="00972827" w:rsidP="001F6277">
            <w:pPr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№</w:t>
            </w:r>
          </w:p>
          <w:p w:rsidR="00972827" w:rsidRPr="003F5529" w:rsidRDefault="00972827" w:rsidP="001F6277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п/п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972827" w:rsidRPr="003F5529" w:rsidRDefault="00972827" w:rsidP="001F6277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972827" w:rsidRPr="003F5529" w:rsidRDefault="00972827" w:rsidP="001F6277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841" w:type="pct"/>
            <w:vAlign w:val="center"/>
          </w:tcPr>
          <w:p w:rsidR="00972827" w:rsidRPr="003F5529" w:rsidRDefault="00972827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Тариф на</w:t>
            </w:r>
          </w:p>
          <w:p w:rsidR="00972827" w:rsidRPr="003F5529" w:rsidRDefault="00972827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питьевую воду</w:t>
            </w:r>
          </w:p>
          <w:p w:rsidR="00972827" w:rsidRPr="003F5529" w:rsidRDefault="00972827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(одноставочный),</w:t>
            </w:r>
          </w:p>
          <w:p w:rsidR="00972827" w:rsidRPr="003F5529" w:rsidRDefault="00972827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руб./куб.м</w:t>
            </w:r>
          </w:p>
        </w:tc>
        <w:tc>
          <w:tcPr>
            <w:tcW w:w="838" w:type="pct"/>
            <w:vAlign w:val="center"/>
          </w:tcPr>
          <w:p w:rsidR="00972827" w:rsidRPr="003F5529" w:rsidRDefault="00972827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Тариф на</w:t>
            </w:r>
          </w:p>
          <w:p w:rsidR="00972827" w:rsidRPr="003F5529" w:rsidRDefault="00972827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техническую воду</w:t>
            </w:r>
          </w:p>
          <w:p w:rsidR="00972827" w:rsidRPr="003F5529" w:rsidRDefault="00972827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(одноставочный),</w:t>
            </w:r>
          </w:p>
          <w:p w:rsidR="00972827" w:rsidRPr="003F5529" w:rsidRDefault="00972827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3F5529">
              <w:rPr>
                <w:sz w:val="22"/>
                <w:szCs w:val="22"/>
              </w:rPr>
              <w:t>руб./куб.м</w:t>
            </w:r>
          </w:p>
        </w:tc>
      </w:tr>
      <w:tr w:rsidR="00972827" w:rsidRPr="003F5529" w:rsidTr="00DE0FAD">
        <w:trPr>
          <w:trHeight w:val="20"/>
          <w:jc w:val="center"/>
        </w:trPr>
        <w:tc>
          <w:tcPr>
            <w:tcW w:w="290" w:type="pct"/>
            <w:shd w:val="clear" w:color="auto" w:fill="auto"/>
            <w:vAlign w:val="center"/>
          </w:tcPr>
          <w:p w:rsidR="00972827" w:rsidRPr="003F5529" w:rsidRDefault="00972827" w:rsidP="001F6277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972827" w:rsidRPr="003F5529" w:rsidRDefault="00972827" w:rsidP="001F6277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ООО «УПТЖ для ППД» (тарифы указаны без учета НДС),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972827" w:rsidRPr="003F5529" w:rsidRDefault="00972827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1" w:type="pct"/>
            <w:vAlign w:val="center"/>
          </w:tcPr>
          <w:p w:rsidR="00972827" w:rsidRPr="003F5529" w:rsidRDefault="00972827" w:rsidP="001F6277">
            <w:pPr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972827" w:rsidRPr="003F5529" w:rsidRDefault="00972827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</w:t>
            </w:r>
          </w:p>
          <w:p w:rsidR="00DE0FAD" w:rsidRPr="003F5529" w:rsidRDefault="00DE0FAD" w:rsidP="00DE0FAD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потребители Круглопольского сельского поселения Тукаевского муниципального района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DE0FA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DE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8,82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9,45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9,45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9,67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9,67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10,36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10,36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водоисточников - потребители муниципального образования «город Заинск» 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DE0FA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DE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14,08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14,08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14,16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водоисточников - потребители </w:t>
            </w:r>
            <w:r w:rsidRPr="003F5529">
              <w:rPr>
                <w:bCs/>
                <w:sz w:val="22"/>
                <w:szCs w:val="22"/>
              </w:rPr>
              <w:lastRenderedPageBreak/>
              <w:t>муниципального образования «город Альметьевск»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DE0FA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lastRenderedPageBreak/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DE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20,16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20,16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22,09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22,09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22,72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муниципального образования «поселок городского типа Джалиль»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DE0FA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DE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19,68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21,06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21,06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21,58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21,58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23,09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23,09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 xml:space="preserve">из поверхностных водоисточников - потребители муниципального образования «город Азнакаево» 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DE0FA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DE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21,95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23,48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23,48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24,06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24,06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26,47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муниципального образования «город Лениногорск»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DE0FA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DE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22,92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24,54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25,13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25,13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26,90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26,90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27,65</w:t>
            </w: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1.7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DE0FAD" w:rsidRPr="003F5529" w:rsidRDefault="00DE0FAD" w:rsidP="00DE0FAD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муниципальных образований «город Набережные Челны», «город Нижнекамск», п. Нефтебаза Тукаевского муниципального района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DE0FA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DE0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DE0FAD" w:rsidRPr="003F5529" w:rsidRDefault="00DE0FAD" w:rsidP="00DE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</w:t>
            </w: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</w:t>
            </w: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</w:t>
            </w: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7,85</w:t>
            </w: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7,85</w:t>
            </w: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7,91</w:t>
            </w: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7,91</w:t>
            </w:r>
          </w:p>
        </w:tc>
      </w:tr>
      <w:tr w:rsidR="00DE0FAD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DE0FAD" w:rsidRPr="003F5529" w:rsidRDefault="00DE0FAD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DE0FAD" w:rsidRPr="008D79CC" w:rsidRDefault="00DE0FAD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DE0FAD" w:rsidRPr="003F5529" w:rsidRDefault="00DE0FA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8,57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7A5962" w:rsidRPr="003F5529" w:rsidRDefault="007A5962" w:rsidP="007A5962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1.8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7A5962" w:rsidRPr="003F5529" w:rsidRDefault="007A5962" w:rsidP="007A5962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муниципальных образований «город Азнакаево», «город Альметьевск», «город Бавлы», «город Бугульма», «город Заинск», «город Нурлат», «поселок городского типа Джалиль»</w:t>
            </w:r>
          </w:p>
          <w:p w:rsidR="007A5962" w:rsidRPr="003F5529" w:rsidRDefault="007A5962" w:rsidP="007A5962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(вода до водоподготовки)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7A596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7A5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7A59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34,61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35,65</w:t>
            </w:r>
          </w:p>
        </w:tc>
      </w:tr>
      <w:tr w:rsidR="007A5962" w:rsidRPr="003F5529" w:rsidTr="00DE0FAD">
        <w:trPr>
          <w:trHeight w:val="47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35,65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37,74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39,05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39,05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41,26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7A5962" w:rsidRPr="003F5529" w:rsidRDefault="007A5962" w:rsidP="007A5962">
            <w:pPr>
              <w:jc w:val="center"/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1.9</w:t>
            </w:r>
          </w:p>
        </w:tc>
        <w:tc>
          <w:tcPr>
            <w:tcW w:w="1681" w:type="pct"/>
            <w:vMerge w:val="restart"/>
            <w:shd w:val="clear" w:color="auto" w:fill="auto"/>
            <w:vAlign w:val="center"/>
          </w:tcPr>
          <w:p w:rsidR="007A5962" w:rsidRPr="003F5529" w:rsidRDefault="007A5962" w:rsidP="007A5962">
            <w:pPr>
              <w:rPr>
                <w:bCs/>
                <w:sz w:val="22"/>
                <w:szCs w:val="22"/>
              </w:rPr>
            </w:pPr>
            <w:r w:rsidRPr="003F5529">
              <w:rPr>
                <w:bCs/>
                <w:sz w:val="22"/>
                <w:szCs w:val="22"/>
              </w:rPr>
              <w:t>из поверхностных водоисточников - потребители муниципальных образований «город Азнакаево», «город Альметьевск», «город Бавлы», «город Бугульма», «город Елабуга», «город Заинск», «город Нурлат», «поселок городского типа Джалиль» (для системы поддержания пластового давления)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7A596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7A5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7A5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34,79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35,87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35,87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37,93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37,93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39,29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39,29</w:t>
            </w:r>
          </w:p>
        </w:tc>
      </w:tr>
      <w:tr w:rsidR="007A5962" w:rsidRPr="003F5529" w:rsidTr="00DE0FAD">
        <w:trPr>
          <w:trHeight w:val="20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1" w:type="pct"/>
            <w:vMerge/>
            <w:shd w:val="clear" w:color="auto" w:fill="auto"/>
            <w:vAlign w:val="center"/>
          </w:tcPr>
          <w:p w:rsidR="007A5962" w:rsidRPr="003F5529" w:rsidRDefault="007A5962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7A5962" w:rsidRPr="008D79CC" w:rsidRDefault="007A5962" w:rsidP="001F627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1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:rsidR="007A5962" w:rsidRPr="003F5529" w:rsidRDefault="007A5962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41,47</w:t>
            </w:r>
          </w:p>
        </w:tc>
      </w:tr>
    </w:tbl>
    <w:p w:rsidR="00972827" w:rsidRDefault="00972827" w:rsidP="00972827">
      <w:pPr>
        <w:ind w:right="140"/>
        <w:jc w:val="center"/>
        <w:rPr>
          <w:szCs w:val="28"/>
        </w:rPr>
      </w:pPr>
    </w:p>
    <w:p w:rsidR="007A5962" w:rsidRPr="00E363ED" w:rsidRDefault="007A5962" w:rsidP="007A5962">
      <w:pPr>
        <w:ind w:right="140"/>
        <w:jc w:val="both"/>
        <w:rPr>
          <w:sz w:val="22"/>
          <w:szCs w:val="22"/>
        </w:rPr>
      </w:pPr>
      <w:r w:rsidRPr="006A027C">
        <w:rPr>
          <w:sz w:val="24"/>
          <w:szCs w:val="24"/>
        </w:rPr>
        <w:t xml:space="preserve">* </w:t>
      </w:r>
      <w:r w:rsidRPr="00E363ED">
        <w:rPr>
          <w:sz w:val="22"/>
          <w:szCs w:val="22"/>
        </w:rPr>
        <w:t>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7A5962" w:rsidRDefault="007A5962" w:rsidP="00972827">
      <w:pPr>
        <w:ind w:right="140"/>
        <w:rPr>
          <w:sz w:val="24"/>
          <w:szCs w:val="24"/>
        </w:rPr>
      </w:pPr>
    </w:p>
    <w:p w:rsidR="007A5962" w:rsidRDefault="007A5962" w:rsidP="00972827">
      <w:pPr>
        <w:ind w:right="140"/>
        <w:rPr>
          <w:sz w:val="24"/>
          <w:szCs w:val="24"/>
        </w:rPr>
      </w:pPr>
    </w:p>
    <w:p w:rsidR="00972827" w:rsidRPr="00E363ED" w:rsidRDefault="00972827" w:rsidP="00972827">
      <w:pPr>
        <w:ind w:right="140"/>
        <w:rPr>
          <w:szCs w:val="28"/>
        </w:rPr>
      </w:pPr>
      <w:r w:rsidRPr="00E363ED">
        <w:rPr>
          <w:szCs w:val="28"/>
        </w:rPr>
        <w:t xml:space="preserve">Отдел организации, контроля и сопровождения </w:t>
      </w:r>
    </w:p>
    <w:p w:rsidR="00972827" w:rsidRPr="00E363ED" w:rsidRDefault="00972827" w:rsidP="00972827">
      <w:pPr>
        <w:ind w:right="140"/>
        <w:rPr>
          <w:szCs w:val="28"/>
        </w:rPr>
      </w:pPr>
      <w:r w:rsidRPr="00E363ED">
        <w:rPr>
          <w:szCs w:val="28"/>
        </w:rPr>
        <w:t xml:space="preserve">принятия тарифных решений Государственного </w:t>
      </w:r>
    </w:p>
    <w:p w:rsidR="00972827" w:rsidRDefault="00972827" w:rsidP="00972827">
      <w:pPr>
        <w:ind w:right="140"/>
        <w:rPr>
          <w:sz w:val="24"/>
          <w:szCs w:val="24"/>
        </w:rPr>
      </w:pPr>
      <w:r w:rsidRPr="00E363E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7A596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Default="0075620E" w:rsidP="006B204A">
      <w:pPr>
        <w:jc w:val="center"/>
        <w:rPr>
          <w:szCs w:val="28"/>
        </w:rPr>
      </w:pPr>
    </w:p>
    <w:p w:rsidR="00150BFF" w:rsidRPr="00E056B6" w:rsidRDefault="00150BFF" w:rsidP="00150BFF">
      <w:pPr>
        <w:jc w:val="center"/>
        <w:rPr>
          <w:szCs w:val="28"/>
        </w:rPr>
      </w:pPr>
      <w:r w:rsidRPr="00E056B6">
        <w:rPr>
          <w:szCs w:val="28"/>
        </w:rPr>
        <w:t xml:space="preserve">Долгосрочные параметры регулирования тарифов на питьевую воду и </w:t>
      </w:r>
      <w:r>
        <w:rPr>
          <w:szCs w:val="28"/>
        </w:rPr>
        <w:t>техническую воду</w:t>
      </w:r>
      <w:r w:rsidRPr="00E056B6">
        <w:rPr>
          <w:szCs w:val="28"/>
        </w:rPr>
        <w:t xml:space="preserve"> </w:t>
      </w:r>
      <w:r w:rsidRPr="003F5529">
        <w:rPr>
          <w:szCs w:val="28"/>
        </w:rPr>
        <w:t>для ООО «УПТЖ для ППД»</w:t>
      </w:r>
      <w:r w:rsidRPr="00E056B6">
        <w:rPr>
          <w:szCs w:val="28"/>
        </w:rPr>
        <w:t>, осуществляющего холодное водоснабжение, на 20</w:t>
      </w:r>
      <w:r>
        <w:rPr>
          <w:szCs w:val="28"/>
        </w:rPr>
        <w:t>2</w:t>
      </w:r>
      <w:r w:rsidR="000C2576">
        <w:rPr>
          <w:szCs w:val="28"/>
        </w:rPr>
        <w:t>4</w:t>
      </w:r>
      <w:r w:rsidRPr="0094501C">
        <w:rPr>
          <w:bCs/>
          <w:color w:val="000000"/>
          <w:szCs w:val="28"/>
        </w:rPr>
        <w:t xml:space="preserve"> – </w:t>
      </w:r>
      <w:r w:rsidRPr="00E056B6">
        <w:rPr>
          <w:szCs w:val="28"/>
        </w:rPr>
        <w:t>202</w:t>
      </w:r>
      <w:r w:rsidR="000C2576">
        <w:rPr>
          <w:szCs w:val="28"/>
        </w:rPr>
        <w:t xml:space="preserve">8 </w:t>
      </w:r>
      <w:r w:rsidRPr="00E056B6">
        <w:rPr>
          <w:szCs w:val="28"/>
        </w:rPr>
        <w:t>годы</w:t>
      </w:r>
    </w:p>
    <w:p w:rsidR="00150BFF" w:rsidRDefault="00150BFF" w:rsidP="00150BFF">
      <w:pPr>
        <w:jc w:val="center"/>
        <w:rPr>
          <w:szCs w:val="28"/>
        </w:rPr>
      </w:pPr>
    </w:p>
    <w:p w:rsidR="00150BFF" w:rsidRPr="00E056B6" w:rsidRDefault="00150BFF" w:rsidP="00150BFF">
      <w:pPr>
        <w:jc w:val="center"/>
        <w:rPr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1"/>
        <w:gridCol w:w="3004"/>
        <w:gridCol w:w="812"/>
        <w:gridCol w:w="2297"/>
        <w:gridCol w:w="1896"/>
        <w:gridCol w:w="1896"/>
        <w:gridCol w:w="1682"/>
        <w:gridCol w:w="2344"/>
      </w:tblGrid>
      <w:tr w:rsidR="00150BFF" w:rsidRPr="000C2576" w:rsidTr="000461F7">
        <w:trPr>
          <w:trHeight w:val="20"/>
          <w:tblHeader/>
          <w:tblCellSpacing w:w="5" w:type="nil"/>
          <w:jc w:val="center"/>
        </w:trPr>
        <w:tc>
          <w:tcPr>
            <w:tcW w:w="246" w:type="pct"/>
            <w:vMerge w:val="restar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№</w:t>
            </w:r>
          </w:p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п/п</w:t>
            </w:r>
          </w:p>
        </w:tc>
        <w:tc>
          <w:tcPr>
            <w:tcW w:w="1025" w:type="pct"/>
            <w:vMerge w:val="restar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вид тарифа</w:t>
            </w:r>
          </w:p>
        </w:tc>
        <w:tc>
          <w:tcPr>
            <w:tcW w:w="277" w:type="pct"/>
            <w:vMerge w:val="restar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Год</w:t>
            </w:r>
          </w:p>
        </w:tc>
        <w:tc>
          <w:tcPr>
            <w:tcW w:w="784" w:type="pct"/>
            <w:vMerge w:val="restar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Базовый уровень</w:t>
            </w:r>
          </w:p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операционных</w:t>
            </w:r>
          </w:p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расходов</w:t>
            </w:r>
            <w:r w:rsidR="007A5962">
              <w:rPr>
                <w:sz w:val="24"/>
                <w:szCs w:val="24"/>
              </w:rPr>
              <w:t>*</w:t>
            </w:r>
          </w:p>
        </w:tc>
        <w:tc>
          <w:tcPr>
            <w:tcW w:w="647" w:type="pct"/>
            <w:vMerge w:val="restar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Индекс</w:t>
            </w:r>
          </w:p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эффективности</w:t>
            </w:r>
          </w:p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операционных</w:t>
            </w:r>
          </w:p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расходов</w:t>
            </w:r>
          </w:p>
        </w:tc>
        <w:tc>
          <w:tcPr>
            <w:tcW w:w="647" w:type="pct"/>
            <w:vMerge w:val="restar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Нормативный</w:t>
            </w:r>
          </w:p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уровень</w:t>
            </w:r>
          </w:p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прибыли</w:t>
            </w:r>
            <w:r w:rsidR="007A5962">
              <w:rPr>
                <w:sz w:val="24"/>
                <w:szCs w:val="24"/>
              </w:rPr>
              <w:t>**</w:t>
            </w:r>
          </w:p>
        </w:tc>
        <w:tc>
          <w:tcPr>
            <w:tcW w:w="1374" w:type="pct"/>
            <w:gridSpan w:val="2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Показатели</w:t>
            </w:r>
            <w:r w:rsidRPr="000C2576">
              <w:rPr>
                <w:sz w:val="24"/>
                <w:szCs w:val="24"/>
              </w:rPr>
              <w:br/>
              <w:t>энергосбережения и энергетической эффективности</w:t>
            </w:r>
          </w:p>
        </w:tc>
      </w:tr>
      <w:tr w:rsidR="00150BFF" w:rsidRPr="000C2576" w:rsidTr="000461F7">
        <w:trPr>
          <w:trHeight w:val="20"/>
          <w:tblHeader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vMerge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800" w:type="pc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150BFF" w:rsidRPr="000C2576" w:rsidTr="000461F7">
        <w:trPr>
          <w:trHeight w:val="20"/>
          <w:tblHeader/>
          <w:tblCellSpacing w:w="5" w:type="nil"/>
          <w:jc w:val="center"/>
        </w:trPr>
        <w:tc>
          <w:tcPr>
            <w:tcW w:w="246" w:type="pct"/>
            <w:vMerge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тыс. руб.</w:t>
            </w:r>
          </w:p>
        </w:tc>
        <w:tc>
          <w:tcPr>
            <w:tcW w:w="647" w:type="pc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%</w:t>
            </w:r>
          </w:p>
        </w:tc>
        <w:tc>
          <w:tcPr>
            <w:tcW w:w="647" w:type="pc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%</w:t>
            </w:r>
          </w:p>
        </w:tc>
        <w:tc>
          <w:tcPr>
            <w:tcW w:w="574" w:type="pc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%</w:t>
            </w:r>
          </w:p>
        </w:tc>
        <w:tc>
          <w:tcPr>
            <w:tcW w:w="800" w:type="pc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кВт·ч/куб.м</w:t>
            </w:r>
          </w:p>
        </w:tc>
      </w:tr>
      <w:tr w:rsidR="00150BFF" w:rsidRPr="000C2576" w:rsidTr="000461F7">
        <w:trPr>
          <w:trHeight w:val="20"/>
          <w:tblCellSpacing w:w="5" w:type="nil"/>
          <w:jc w:val="center"/>
        </w:trPr>
        <w:tc>
          <w:tcPr>
            <w:tcW w:w="246" w:type="pc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</w:t>
            </w:r>
          </w:p>
        </w:tc>
        <w:tc>
          <w:tcPr>
            <w:tcW w:w="1025" w:type="pct"/>
          </w:tcPr>
          <w:p w:rsidR="00150BFF" w:rsidRPr="000C2576" w:rsidRDefault="00150BFF" w:rsidP="000461F7">
            <w:pPr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ООО «УПТЖ для ППД»</w:t>
            </w:r>
          </w:p>
        </w:tc>
        <w:tc>
          <w:tcPr>
            <w:tcW w:w="277" w:type="pct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</w:p>
        </w:tc>
      </w:tr>
      <w:tr w:rsidR="00150BFF" w:rsidRPr="000C2576" w:rsidTr="000461F7">
        <w:trPr>
          <w:trHeight w:val="20"/>
          <w:tblCellSpacing w:w="5" w:type="nil"/>
          <w:jc w:val="center"/>
        </w:trPr>
        <w:tc>
          <w:tcPr>
            <w:tcW w:w="246" w:type="pct"/>
            <w:vMerge w:val="restart"/>
            <w:vAlign w:val="center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1.1</w:t>
            </w:r>
          </w:p>
        </w:tc>
        <w:tc>
          <w:tcPr>
            <w:tcW w:w="1025" w:type="pct"/>
            <w:vMerge w:val="restart"/>
            <w:vAlign w:val="center"/>
          </w:tcPr>
          <w:p w:rsidR="00150BFF" w:rsidRPr="000C2576" w:rsidRDefault="00150BFF" w:rsidP="000461F7">
            <w:pPr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77" w:type="pct"/>
          </w:tcPr>
          <w:p w:rsidR="00150BFF" w:rsidRPr="000C2576" w:rsidRDefault="00150BFF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202</w:t>
            </w:r>
            <w:r w:rsidR="000C2576">
              <w:rPr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150BFF" w:rsidRPr="000C2576" w:rsidRDefault="000C2576" w:rsidP="000461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134 080,78</w:t>
            </w:r>
          </w:p>
        </w:tc>
        <w:tc>
          <w:tcPr>
            <w:tcW w:w="647" w:type="pct"/>
          </w:tcPr>
          <w:p w:rsidR="00150BFF" w:rsidRPr="000C2576" w:rsidRDefault="007A5962" w:rsidP="000461F7">
            <w:pPr>
              <w:jc w:val="center"/>
              <w:rPr>
                <w:sz w:val="24"/>
                <w:szCs w:val="24"/>
              </w:rPr>
            </w:pPr>
            <w:r w:rsidRPr="00B14891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150BFF" w:rsidRPr="000C2576" w:rsidRDefault="00150BFF" w:rsidP="000461F7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150BFF" w:rsidRPr="000C2576" w:rsidRDefault="000C2576" w:rsidP="00046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150BFF" w:rsidRPr="000C2576" w:rsidRDefault="000C2576" w:rsidP="000461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="00150BFF"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0C2576" w:rsidRPr="000C2576" w:rsidTr="000461F7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84" w:type="pct"/>
          </w:tcPr>
          <w:p w:rsidR="000C2576" w:rsidRDefault="007A5962" w:rsidP="000C2576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7A5962" w:rsidRPr="000C2576" w:rsidTr="000461F7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7A5962" w:rsidRPr="000C2576" w:rsidRDefault="007A5962" w:rsidP="007A5962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84" w:type="pct"/>
          </w:tcPr>
          <w:p w:rsidR="007A5962" w:rsidRDefault="007A5962" w:rsidP="007A5962">
            <w:pPr>
              <w:jc w:val="center"/>
            </w:pPr>
            <w:r w:rsidRPr="00B14891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7A5962" w:rsidRPr="000C2576" w:rsidRDefault="007A5962" w:rsidP="007A59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7A5962" w:rsidRPr="000C2576" w:rsidTr="000461F7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7A5962" w:rsidRPr="000C2576" w:rsidRDefault="007A5962" w:rsidP="007A5962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84" w:type="pct"/>
          </w:tcPr>
          <w:p w:rsidR="007A5962" w:rsidRDefault="007A5962" w:rsidP="007A5962">
            <w:pPr>
              <w:jc w:val="center"/>
            </w:pPr>
            <w:r w:rsidRPr="00B14891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7A5962" w:rsidRPr="000C2576" w:rsidRDefault="007A5962" w:rsidP="007A59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7A5962" w:rsidRPr="000C2576" w:rsidTr="000461F7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7A5962" w:rsidRPr="000C2576" w:rsidRDefault="007A5962" w:rsidP="007A5962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84" w:type="pct"/>
          </w:tcPr>
          <w:p w:rsidR="007A5962" w:rsidRDefault="007A5962" w:rsidP="007A5962">
            <w:pPr>
              <w:jc w:val="center"/>
            </w:pPr>
            <w:r w:rsidRPr="00B14891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800" w:type="pct"/>
            <w:vAlign w:val="bottom"/>
          </w:tcPr>
          <w:p w:rsidR="007A5962" w:rsidRPr="000C2576" w:rsidRDefault="007A5962" w:rsidP="007A59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  <w:r w:rsidRPr="000C25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0C2576" w:rsidRPr="000C2576" w:rsidTr="000461F7">
        <w:trPr>
          <w:trHeight w:val="20"/>
          <w:tblCellSpacing w:w="5" w:type="nil"/>
          <w:jc w:val="center"/>
        </w:trPr>
        <w:tc>
          <w:tcPr>
            <w:tcW w:w="246" w:type="pct"/>
            <w:vMerge w:val="restart"/>
            <w:vAlign w:val="center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1.2</w:t>
            </w:r>
          </w:p>
        </w:tc>
        <w:tc>
          <w:tcPr>
            <w:tcW w:w="1025" w:type="pct"/>
            <w:vMerge w:val="restart"/>
            <w:vAlign w:val="center"/>
          </w:tcPr>
          <w:p w:rsidR="000C2576" w:rsidRPr="000C2576" w:rsidRDefault="000C2576" w:rsidP="000C2576">
            <w:pPr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Техническая вода</w:t>
            </w:r>
          </w:p>
        </w:tc>
        <w:tc>
          <w:tcPr>
            <w:tcW w:w="27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84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692 229,95</w:t>
            </w:r>
          </w:p>
        </w:tc>
        <w:tc>
          <w:tcPr>
            <w:tcW w:w="647" w:type="pct"/>
          </w:tcPr>
          <w:p w:rsidR="000C2576" w:rsidRPr="000C2576" w:rsidRDefault="007A5962" w:rsidP="000C2576">
            <w:pPr>
              <w:jc w:val="center"/>
              <w:rPr>
                <w:sz w:val="24"/>
                <w:szCs w:val="24"/>
              </w:rPr>
            </w:pPr>
            <w:r w:rsidRPr="00B14891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0C2576" w:rsidRPr="000C2576" w:rsidRDefault="000C2576" w:rsidP="000C2576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0C2576" w:rsidRPr="000C2576" w:rsidRDefault="000C2576" w:rsidP="000C2576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  <w:tr w:rsidR="007A5962" w:rsidRPr="000C2576" w:rsidTr="000461F7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7A5962" w:rsidRPr="000C2576" w:rsidRDefault="007A5962" w:rsidP="007A5962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84" w:type="pct"/>
          </w:tcPr>
          <w:p w:rsidR="007A5962" w:rsidRDefault="007A5962" w:rsidP="007A5962">
            <w:pPr>
              <w:jc w:val="center"/>
            </w:pPr>
            <w:r w:rsidRPr="00B14891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7A5962" w:rsidRPr="000C2576" w:rsidRDefault="007A5962" w:rsidP="007A5962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  <w:tr w:rsidR="007A5962" w:rsidRPr="000C2576" w:rsidTr="000461F7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7A5962" w:rsidRPr="000C2576" w:rsidRDefault="007A5962" w:rsidP="007A5962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84" w:type="pct"/>
          </w:tcPr>
          <w:p w:rsidR="007A5962" w:rsidRDefault="007A5962" w:rsidP="007A5962">
            <w:pPr>
              <w:jc w:val="center"/>
            </w:pPr>
            <w:r w:rsidRPr="00B14891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7A5962" w:rsidRPr="000C2576" w:rsidRDefault="007A5962" w:rsidP="007A5962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  <w:tr w:rsidR="007A5962" w:rsidRPr="000C2576" w:rsidTr="00052BBD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7A5962" w:rsidRPr="000C2576" w:rsidRDefault="007A5962" w:rsidP="007A5962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84" w:type="pct"/>
          </w:tcPr>
          <w:p w:rsidR="007A5962" w:rsidRDefault="007A5962" w:rsidP="007A5962">
            <w:pPr>
              <w:jc w:val="center"/>
            </w:pPr>
            <w:r w:rsidRPr="00B14891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7A5962" w:rsidRPr="000C2576" w:rsidRDefault="007A5962" w:rsidP="007A5962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  <w:tr w:rsidR="007A5962" w:rsidRPr="000C2576" w:rsidTr="00052BBD">
        <w:trPr>
          <w:trHeight w:val="20"/>
          <w:tblCellSpacing w:w="5" w:type="nil"/>
          <w:jc w:val="center"/>
        </w:trPr>
        <w:tc>
          <w:tcPr>
            <w:tcW w:w="246" w:type="pct"/>
            <w:vMerge/>
            <w:vAlign w:val="center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pct"/>
            <w:vMerge/>
          </w:tcPr>
          <w:p w:rsidR="007A5962" w:rsidRPr="000C2576" w:rsidRDefault="007A5962" w:rsidP="007A5962">
            <w:pPr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84" w:type="pct"/>
          </w:tcPr>
          <w:p w:rsidR="007A5962" w:rsidRDefault="007A5962" w:rsidP="007A5962">
            <w:pPr>
              <w:jc w:val="center"/>
            </w:pPr>
            <w:r w:rsidRPr="00B14891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1</w:t>
            </w:r>
          </w:p>
        </w:tc>
        <w:tc>
          <w:tcPr>
            <w:tcW w:w="647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-</w:t>
            </w:r>
          </w:p>
        </w:tc>
        <w:tc>
          <w:tcPr>
            <w:tcW w:w="574" w:type="pct"/>
          </w:tcPr>
          <w:p w:rsidR="007A5962" w:rsidRPr="000C2576" w:rsidRDefault="007A5962" w:rsidP="007A5962">
            <w:pPr>
              <w:jc w:val="center"/>
              <w:rPr>
                <w:sz w:val="24"/>
                <w:szCs w:val="24"/>
              </w:rPr>
            </w:pPr>
            <w:r w:rsidRPr="000C2576">
              <w:rPr>
                <w:sz w:val="24"/>
                <w:szCs w:val="24"/>
              </w:rPr>
              <w:t>5,45</w:t>
            </w:r>
          </w:p>
        </w:tc>
        <w:tc>
          <w:tcPr>
            <w:tcW w:w="800" w:type="pct"/>
            <w:vAlign w:val="bottom"/>
          </w:tcPr>
          <w:p w:rsidR="007A5962" w:rsidRPr="000C2576" w:rsidRDefault="007A5962" w:rsidP="007A5962">
            <w:pPr>
              <w:jc w:val="center"/>
              <w:rPr>
                <w:color w:val="000000"/>
                <w:sz w:val="24"/>
                <w:szCs w:val="24"/>
              </w:rPr>
            </w:pPr>
            <w:r w:rsidRPr="000C2576">
              <w:rPr>
                <w:color w:val="000000"/>
                <w:sz w:val="24"/>
                <w:szCs w:val="24"/>
              </w:rPr>
              <w:t>1,14</w:t>
            </w:r>
          </w:p>
        </w:tc>
      </w:tr>
    </w:tbl>
    <w:p w:rsidR="00150BFF" w:rsidRPr="00E363ED" w:rsidRDefault="00150BFF" w:rsidP="00150BFF">
      <w:pPr>
        <w:rPr>
          <w:sz w:val="22"/>
          <w:szCs w:val="22"/>
        </w:rPr>
      </w:pPr>
    </w:p>
    <w:p w:rsidR="007A5962" w:rsidRPr="00E363ED" w:rsidRDefault="007A5962" w:rsidP="007A5962">
      <w:pPr>
        <w:ind w:right="140"/>
        <w:jc w:val="both"/>
        <w:rPr>
          <w:sz w:val="22"/>
          <w:szCs w:val="22"/>
        </w:rPr>
      </w:pPr>
      <w:r w:rsidRPr="00E363ED">
        <w:rPr>
          <w:sz w:val="22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7A5962" w:rsidRPr="00E363ED" w:rsidRDefault="007A5962" w:rsidP="007A5962">
      <w:pPr>
        <w:ind w:right="140"/>
        <w:jc w:val="both"/>
        <w:rPr>
          <w:sz w:val="22"/>
          <w:szCs w:val="22"/>
        </w:rPr>
      </w:pPr>
      <w:r w:rsidRPr="00E363ED">
        <w:rPr>
          <w:sz w:val="22"/>
          <w:szCs w:val="22"/>
        </w:rPr>
        <w:t>** Нормативный уровень прибыли для ООО «УПТЖ для ППД» не устанавливается.</w:t>
      </w:r>
    </w:p>
    <w:p w:rsidR="00150BFF" w:rsidRDefault="00150BFF" w:rsidP="006B204A">
      <w:pPr>
        <w:jc w:val="center"/>
        <w:rPr>
          <w:szCs w:val="28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E363ED" w:rsidRDefault="00A6783A" w:rsidP="00A6783A">
      <w:pPr>
        <w:ind w:right="140"/>
        <w:rPr>
          <w:szCs w:val="28"/>
        </w:rPr>
      </w:pPr>
      <w:r w:rsidRPr="00E363ED">
        <w:rPr>
          <w:szCs w:val="28"/>
        </w:rPr>
        <w:t>Отдел организации, контроля и сопровождения</w:t>
      </w:r>
      <w:r w:rsidR="00F44B47" w:rsidRPr="00E363ED">
        <w:rPr>
          <w:szCs w:val="28"/>
        </w:rPr>
        <w:t xml:space="preserve"> </w:t>
      </w:r>
    </w:p>
    <w:p w:rsidR="00EE6FC5" w:rsidRPr="00E363ED" w:rsidRDefault="00A6783A" w:rsidP="00A6783A">
      <w:pPr>
        <w:ind w:right="140"/>
        <w:rPr>
          <w:szCs w:val="28"/>
        </w:rPr>
      </w:pPr>
      <w:r w:rsidRPr="00E363ED">
        <w:rPr>
          <w:szCs w:val="28"/>
        </w:rPr>
        <w:t xml:space="preserve">принятия тарифных решений Государственного </w:t>
      </w:r>
    </w:p>
    <w:p w:rsidR="00A6783A" w:rsidRPr="00E363ED" w:rsidRDefault="00A6783A" w:rsidP="00A6783A">
      <w:pPr>
        <w:ind w:right="140"/>
        <w:rPr>
          <w:szCs w:val="28"/>
        </w:rPr>
      </w:pPr>
      <w:r w:rsidRPr="00E363ED">
        <w:rPr>
          <w:szCs w:val="28"/>
        </w:rPr>
        <w:t>комитета Республики Татарстан по тарифам</w:t>
      </w:r>
    </w:p>
    <w:sectPr w:rsidR="00A6783A" w:rsidRPr="00E363ED" w:rsidSect="00E363ED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389" w:rsidRDefault="00435389">
      <w:r>
        <w:separator/>
      </w:r>
    </w:p>
  </w:endnote>
  <w:endnote w:type="continuationSeparator" w:id="0">
    <w:p w:rsidR="00435389" w:rsidRDefault="0043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389" w:rsidRDefault="00435389">
      <w:r>
        <w:separator/>
      </w:r>
    </w:p>
  </w:footnote>
  <w:footnote w:type="continuationSeparator" w:id="0">
    <w:p w:rsidR="00435389" w:rsidRDefault="00435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F7" w:rsidRDefault="000461F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461F7" w:rsidRDefault="000461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207269"/>
      <w:docPartObj>
        <w:docPartGallery w:val="Page Numbers (Top of Page)"/>
        <w:docPartUnique/>
      </w:docPartObj>
    </w:sdtPr>
    <w:sdtEndPr/>
    <w:sdtContent>
      <w:p w:rsidR="000461F7" w:rsidRDefault="00E363ED" w:rsidP="00E363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26D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F7" w:rsidRDefault="000461F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18A"/>
    <w:rsid w:val="00034FFB"/>
    <w:rsid w:val="000402B7"/>
    <w:rsid w:val="000412BA"/>
    <w:rsid w:val="00041E58"/>
    <w:rsid w:val="000461F7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2576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0BFF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640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35389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26C24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A5962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550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2827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15EE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26D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0FAD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3ED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4363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2538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BB76-E7FF-4C7F-ABF8-6EDACC95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1041</TotalTime>
  <Pages>9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Белалеева Нафися Равилевна</cp:lastModifiedBy>
  <cp:revision>324</cp:revision>
  <cp:lastPrinted>2023-12-19T18:38:00Z</cp:lastPrinted>
  <dcterms:created xsi:type="dcterms:W3CDTF">2016-11-14T11:46:00Z</dcterms:created>
  <dcterms:modified xsi:type="dcterms:W3CDTF">2023-12-20T10:31:00Z</dcterms:modified>
</cp:coreProperties>
</file>