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AA6317">
        <w:tc>
          <w:tcPr>
            <w:tcW w:w="5637" w:type="dxa"/>
            <w:shd w:val="clear" w:color="auto" w:fill="auto"/>
          </w:tcPr>
          <w:p w:rsidR="00843864" w:rsidRDefault="006324E5" w:rsidP="0058586C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признании утратившим</w:t>
            </w:r>
            <w:r w:rsidR="00EF6DD5">
              <w:rPr>
                <w:sz w:val="28"/>
              </w:rPr>
              <w:t>и</w:t>
            </w:r>
            <w:r>
              <w:rPr>
                <w:sz w:val="28"/>
              </w:rPr>
              <w:t xml:space="preserve"> силу </w:t>
            </w:r>
            <w:r w:rsidR="0058586C">
              <w:rPr>
                <w:sz w:val="28"/>
              </w:rPr>
              <w:t xml:space="preserve">отдельных </w:t>
            </w:r>
            <w:r>
              <w:rPr>
                <w:sz w:val="28"/>
              </w:rPr>
              <w:t>постановлени</w:t>
            </w:r>
            <w:r w:rsidR="0058586C">
              <w:rPr>
                <w:sz w:val="28"/>
              </w:rPr>
              <w:t>й</w:t>
            </w:r>
            <w:r>
              <w:rPr>
                <w:sz w:val="28"/>
              </w:rPr>
              <w:t xml:space="preserve"> Государственного комитета Республики Татарстан по тарифам 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527E47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</w:t>
      </w:r>
      <w:r w:rsidR="005307B0">
        <w:rPr>
          <w:sz w:val="28"/>
          <w:szCs w:val="28"/>
        </w:rPr>
        <w:t xml:space="preserve">связи с прекращением </w:t>
      </w:r>
      <w:r w:rsidR="005307B0" w:rsidRPr="005307B0">
        <w:rPr>
          <w:sz w:val="28"/>
          <w:szCs w:val="28"/>
        </w:rPr>
        <w:t>Муниципальн</w:t>
      </w:r>
      <w:r w:rsidR="005307B0">
        <w:rPr>
          <w:sz w:val="28"/>
          <w:szCs w:val="28"/>
        </w:rPr>
        <w:t>ым</w:t>
      </w:r>
      <w:r w:rsidR="005307B0" w:rsidRPr="005307B0">
        <w:rPr>
          <w:sz w:val="28"/>
          <w:szCs w:val="28"/>
        </w:rPr>
        <w:t xml:space="preserve"> унитарн</w:t>
      </w:r>
      <w:r w:rsidR="005307B0">
        <w:rPr>
          <w:sz w:val="28"/>
          <w:szCs w:val="28"/>
        </w:rPr>
        <w:t>ым</w:t>
      </w:r>
      <w:r w:rsidR="005307B0" w:rsidRPr="005307B0">
        <w:rPr>
          <w:sz w:val="28"/>
          <w:szCs w:val="28"/>
        </w:rPr>
        <w:t xml:space="preserve"> предприяти</w:t>
      </w:r>
      <w:r w:rsidR="005307B0">
        <w:rPr>
          <w:sz w:val="28"/>
          <w:szCs w:val="28"/>
        </w:rPr>
        <w:t>ем</w:t>
      </w:r>
      <w:r w:rsidR="005307B0" w:rsidRPr="005307B0">
        <w:rPr>
          <w:sz w:val="28"/>
          <w:szCs w:val="28"/>
        </w:rPr>
        <w:t xml:space="preserve"> «Управление строительства </w:t>
      </w:r>
      <w:proofErr w:type="spellStart"/>
      <w:r w:rsidR="005307B0" w:rsidRPr="005307B0">
        <w:rPr>
          <w:sz w:val="28"/>
          <w:szCs w:val="28"/>
        </w:rPr>
        <w:t>Агрызского</w:t>
      </w:r>
      <w:proofErr w:type="spellEnd"/>
      <w:r w:rsidR="005307B0" w:rsidRPr="005307B0">
        <w:rPr>
          <w:sz w:val="28"/>
          <w:szCs w:val="28"/>
        </w:rPr>
        <w:t xml:space="preserve"> муниципального района»</w:t>
      </w:r>
      <w:r w:rsidR="005307B0">
        <w:rPr>
          <w:sz w:val="28"/>
          <w:szCs w:val="28"/>
        </w:rPr>
        <w:t xml:space="preserve"> осуществления регулируемого вида деятельности по оказанию услуги в </w:t>
      </w:r>
      <w:r w:rsidR="0058586C">
        <w:rPr>
          <w:sz w:val="28"/>
          <w:szCs w:val="28"/>
        </w:rPr>
        <w:t>области</w:t>
      </w:r>
      <w:r w:rsidR="005307B0">
        <w:rPr>
          <w:sz w:val="28"/>
          <w:szCs w:val="28"/>
        </w:rPr>
        <w:t xml:space="preserve"> обращения </w:t>
      </w:r>
      <w:r w:rsidR="00527E47">
        <w:rPr>
          <w:sz w:val="28"/>
          <w:szCs w:val="28"/>
        </w:rPr>
        <w:br/>
      </w:r>
      <w:r w:rsidR="005307B0">
        <w:rPr>
          <w:sz w:val="28"/>
          <w:szCs w:val="28"/>
        </w:rPr>
        <w:t>с твердыми коммунальными отходами, в соответствии с</w:t>
      </w:r>
      <w:r>
        <w:rPr>
          <w:sz w:val="28"/>
        </w:rPr>
        <w:t xml:space="preserve">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527E47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527E47">
        <w:rPr>
          <w:sz w:val="28"/>
          <w:szCs w:val="28"/>
        </w:rPr>
        <w:t>13.12.2023</w:t>
      </w:r>
      <w:r w:rsidR="009214ED">
        <w:rPr>
          <w:sz w:val="28"/>
          <w:szCs w:val="28"/>
        </w:rPr>
        <w:t xml:space="preserve"> № </w:t>
      </w:r>
      <w:r w:rsidR="00527E47">
        <w:rPr>
          <w:sz w:val="28"/>
          <w:szCs w:val="28"/>
        </w:rPr>
        <w:t>57-ПР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58586C" w:rsidRPr="0058586C" w:rsidRDefault="0058586C" w:rsidP="00527E47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="00527E47">
        <w:rPr>
          <w:sz w:val="28"/>
        </w:rPr>
        <w:t> </w:t>
      </w:r>
      <w:r w:rsidR="005307B0" w:rsidRPr="0058586C">
        <w:rPr>
          <w:sz w:val="28"/>
        </w:rPr>
        <w:t>Признать утратившим</w:t>
      </w:r>
      <w:r w:rsidRPr="0058586C">
        <w:rPr>
          <w:sz w:val="28"/>
        </w:rPr>
        <w:t>и</w:t>
      </w:r>
      <w:r w:rsidR="005307B0" w:rsidRPr="0058586C">
        <w:rPr>
          <w:sz w:val="28"/>
        </w:rPr>
        <w:t xml:space="preserve"> силу </w:t>
      </w:r>
      <w:r w:rsidRPr="0058586C">
        <w:rPr>
          <w:sz w:val="28"/>
        </w:rPr>
        <w:t xml:space="preserve">следующие </w:t>
      </w:r>
      <w:r w:rsidR="005307B0" w:rsidRPr="0058586C">
        <w:rPr>
          <w:sz w:val="28"/>
        </w:rPr>
        <w:t>постановлени</w:t>
      </w:r>
      <w:r w:rsidRPr="0058586C">
        <w:rPr>
          <w:sz w:val="28"/>
        </w:rPr>
        <w:t>я</w:t>
      </w:r>
      <w:r w:rsidR="005307B0" w:rsidRPr="005307B0">
        <w:t xml:space="preserve"> </w:t>
      </w:r>
      <w:r w:rsidR="005307B0" w:rsidRPr="0058586C">
        <w:rPr>
          <w:sz w:val="28"/>
        </w:rPr>
        <w:t>Государственного комитета Республики Татарстан по тарифам</w:t>
      </w:r>
      <w:r w:rsidRPr="0058586C">
        <w:rPr>
          <w:sz w:val="28"/>
        </w:rPr>
        <w:t>:</w:t>
      </w:r>
    </w:p>
    <w:p w:rsidR="0058586C" w:rsidRDefault="005307B0" w:rsidP="00527E47">
      <w:pPr>
        <w:pStyle w:val="af"/>
        <w:ind w:left="0" w:firstLine="720"/>
        <w:jc w:val="both"/>
        <w:rPr>
          <w:sz w:val="28"/>
          <w:szCs w:val="28"/>
        </w:rPr>
      </w:pPr>
      <w:r w:rsidRPr="0058586C">
        <w:rPr>
          <w:sz w:val="28"/>
        </w:rPr>
        <w:t xml:space="preserve">от 17.12.2020 № 547-7/тко-2020 «Об установлении предельных тарифов </w:t>
      </w:r>
      <w:r w:rsidR="00E81303">
        <w:rPr>
          <w:sz w:val="28"/>
        </w:rPr>
        <w:br/>
      </w:r>
      <w:r w:rsidRPr="0058586C">
        <w:rPr>
          <w:sz w:val="28"/>
        </w:rPr>
        <w:t xml:space="preserve">на захоронение твердых коммунальных отходов для Муниципального унитарного предприятия «Управление строительства </w:t>
      </w:r>
      <w:proofErr w:type="spellStart"/>
      <w:r w:rsidRPr="0058586C">
        <w:rPr>
          <w:sz w:val="28"/>
        </w:rPr>
        <w:t>Агрызского</w:t>
      </w:r>
      <w:proofErr w:type="spellEnd"/>
      <w:r w:rsidRPr="0058586C">
        <w:rPr>
          <w:sz w:val="28"/>
        </w:rPr>
        <w:t xml:space="preserve"> муниципального района» </w:t>
      </w:r>
      <w:r w:rsidR="00527E47">
        <w:rPr>
          <w:sz w:val="28"/>
        </w:rPr>
        <w:br/>
      </w:r>
      <w:r w:rsidRPr="0058586C">
        <w:rPr>
          <w:sz w:val="28"/>
        </w:rPr>
        <w:t>на 2021 - 2025 годы»</w:t>
      </w:r>
      <w:r w:rsidR="0058586C">
        <w:rPr>
          <w:sz w:val="28"/>
          <w:szCs w:val="28"/>
        </w:rPr>
        <w:t>;</w:t>
      </w:r>
    </w:p>
    <w:p w:rsidR="0058586C" w:rsidRPr="0058586C" w:rsidRDefault="0058586C" w:rsidP="00E81303">
      <w:pPr>
        <w:pStyle w:val="af"/>
        <w:ind w:left="0" w:firstLine="720"/>
        <w:jc w:val="both"/>
        <w:rPr>
          <w:sz w:val="28"/>
        </w:rPr>
      </w:pPr>
      <w:r>
        <w:rPr>
          <w:sz w:val="28"/>
        </w:rPr>
        <w:t xml:space="preserve">от 03.11.2021 № </w:t>
      </w:r>
      <w:r w:rsidRPr="0058586C">
        <w:rPr>
          <w:sz w:val="28"/>
        </w:rPr>
        <w:t>224-16/тко-2021</w:t>
      </w:r>
      <w:r>
        <w:rPr>
          <w:sz w:val="28"/>
        </w:rPr>
        <w:t xml:space="preserve"> «О корректировке на 2022 год </w:t>
      </w:r>
      <w:r w:rsidRPr="0058586C">
        <w:rPr>
          <w:sz w:val="28"/>
        </w:rPr>
        <w:t>долгосрочных предельных тарифов</w:t>
      </w:r>
      <w:r>
        <w:rPr>
          <w:sz w:val="28"/>
        </w:rPr>
        <w:t xml:space="preserve"> </w:t>
      </w:r>
      <w:r w:rsidRPr="0058586C">
        <w:rPr>
          <w:sz w:val="28"/>
        </w:rPr>
        <w:t>на захоронение твердых коммунальных отходов</w:t>
      </w:r>
      <w:r w:rsidR="00E81303">
        <w:rPr>
          <w:sz w:val="28"/>
        </w:rPr>
        <w:t xml:space="preserve"> </w:t>
      </w:r>
      <w:r w:rsidRPr="0058586C">
        <w:rPr>
          <w:sz w:val="28"/>
        </w:rPr>
        <w:t xml:space="preserve">для </w:t>
      </w:r>
      <w:r>
        <w:rPr>
          <w:sz w:val="28"/>
        </w:rPr>
        <w:t>М</w:t>
      </w:r>
      <w:r w:rsidRPr="0058586C">
        <w:rPr>
          <w:sz w:val="28"/>
        </w:rPr>
        <w:t xml:space="preserve">униципального унитарного предприятия </w:t>
      </w:r>
      <w:r>
        <w:rPr>
          <w:sz w:val="28"/>
        </w:rPr>
        <w:t>«У</w:t>
      </w:r>
      <w:r w:rsidRPr="0058586C">
        <w:rPr>
          <w:sz w:val="28"/>
        </w:rPr>
        <w:t>правление</w:t>
      </w:r>
      <w:r>
        <w:rPr>
          <w:sz w:val="28"/>
        </w:rPr>
        <w:t xml:space="preserve"> </w:t>
      </w:r>
      <w:r w:rsidRPr="0058586C">
        <w:rPr>
          <w:sz w:val="28"/>
        </w:rPr>
        <w:t xml:space="preserve">строительства </w:t>
      </w:r>
      <w:proofErr w:type="spellStart"/>
      <w:r>
        <w:rPr>
          <w:sz w:val="28"/>
        </w:rPr>
        <w:t>А</w:t>
      </w:r>
      <w:r w:rsidRPr="0058586C">
        <w:rPr>
          <w:sz w:val="28"/>
        </w:rPr>
        <w:t>грызского</w:t>
      </w:r>
      <w:proofErr w:type="spellEnd"/>
      <w:r w:rsidRPr="0058586C">
        <w:rPr>
          <w:sz w:val="28"/>
        </w:rPr>
        <w:t xml:space="preserve"> муниципального района</w:t>
      </w:r>
      <w:r>
        <w:rPr>
          <w:sz w:val="28"/>
        </w:rPr>
        <w:t>»</w:t>
      </w:r>
      <w:r w:rsidRPr="0058586C">
        <w:rPr>
          <w:sz w:val="28"/>
        </w:rPr>
        <w:t>,</w:t>
      </w:r>
      <w:r>
        <w:rPr>
          <w:sz w:val="28"/>
        </w:rPr>
        <w:t xml:space="preserve"> </w:t>
      </w:r>
      <w:r w:rsidRPr="0058586C">
        <w:rPr>
          <w:sz w:val="28"/>
        </w:rPr>
        <w:t xml:space="preserve">установленных постановлением </w:t>
      </w:r>
      <w:r>
        <w:rPr>
          <w:sz w:val="28"/>
        </w:rPr>
        <w:t>Г</w:t>
      </w:r>
      <w:r w:rsidRPr="0058586C">
        <w:rPr>
          <w:sz w:val="28"/>
        </w:rPr>
        <w:t>осударственного комитета</w:t>
      </w:r>
      <w:r>
        <w:rPr>
          <w:sz w:val="28"/>
        </w:rPr>
        <w:t xml:space="preserve"> Р</w:t>
      </w:r>
      <w:r w:rsidRPr="0058586C">
        <w:rPr>
          <w:sz w:val="28"/>
        </w:rPr>
        <w:t xml:space="preserve">еспублики </w:t>
      </w:r>
      <w:r>
        <w:rPr>
          <w:sz w:val="28"/>
        </w:rPr>
        <w:t>Т</w:t>
      </w:r>
      <w:r w:rsidRPr="0058586C">
        <w:rPr>
          <w:sz w:val="28"/>
        </w:rPr>
        <w:t>атарстан по тарифам</w:t>
      </w:r>
      <w:r>
        <w:rPr>
          <w:sz w:val="28"/>
        </w:rPr>
        <w:t xml:space="preserve"> </w:t>
      </w:r>
      <w:r w:rsidRPr="0058586C">
        <w:rPr>
          <w:sz w:val="28"/>
        </w:rPr>
        <w:t xml:space="preserve">от 17.12.2020 </w:t>
      </w:r>
      <w:r>
        <w:rPr>
          <w:sz w:val="28"/>
        </w:rPr>
        <w:br/>
        <w:t>№</w:t>
      </w:r>
      <w:r w:rsidRPr="0058586C">
        <w:rPr>
          <w:sz w:val="28"/>
        </w:rPr>
        <w:t xml:space="preserve"> 547-7/тко-2020</w:t>
      </w:r>
      <w:r>
        <w:rPr>
          <w:sz w:val="28"/>
        </w:rPr>
        <w:t>».</w:t>
      </w:r>
    </w:p>
    <w:p w:rsidR="00D80054" w:rsidRDefault="00D20292" w:rsidP="00527E47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527E47">
      <w:pPr>
        <w:ind w:firstLine="720"/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CA314D" w:rsidRDefault="00527E47" w:rsidP="00527E47">
      <w:pPr>
        <w:jc w:val="both"/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bookmarkStart w:id="0" w:name="_GoBack"/>
      <w:bookmarkEnd w:id="0"/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ab/>
        <w:t xml:space="preserve">   Л.В. Хабибуллина</w:t>
      </w:r>
    </w:p>
    <w:sectPr w:rsidR="00CA314D" w:rsidSect="00527E47">
      <w:headerReference w:type="first" r:id="rId8"/>
      <w:pgSz w:w="11906" w:h="16838"/>
      <w:pgMar w:top="567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85" w:rsidRDefault="00FF1C85">
      <w:r>
        <w:separator/>
      </w:r>
    </w:p>
  </w:endnote>
  <w:endnote w:type="continuationSeparator" w:id="0">
    <w:p w:rsidR="00FF1C85" w:rsidRDefault="00FF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85" w:rsidRDefault="00FF1C85">
      <w:r>
        <w:separator/>
      </w:r>
    </w:p>
  </w:footnote>
  <w:footnote w:type="continuationSeparator" w:id="0">
    <w:p w:rsidR="00FF1C85" w:rsidRDefault="00FF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76B12F2D"/>
    <w:multiLevelType w:val="hybridMultilevel"/>
    <w:tmpl w:val="9D126AB4"/>
    <w:lvl w:ilvl="0" w:tplc="07162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1371"/>
    <w:rsid w:val="00072770"/>
    <w:rsid w:val="000A6719"/>
    <w:rsid w:val="000E53B8"/>
    <w:rsid w:val="000F0F29"/>
    <w:rsid w:val="001220F3"/>
    <w:rsid w:val="00171212"/>
    <w:rsid w:val="001C5259"/>
    <w:rsid w:val="001E6827"/>
    <w:rsid w:val="002322D2"/>
    <w:rsid w:val="00237943"/>
    <w:rsid w:val="00246919"/>
    <w:rsid w:val="00253430"/>
    <w:rsid w:val="0025682B"/>
    <w:rsid w:val="0027476E"/>
    <w:rsid w:val="002802E1"/>
    <w:rsid w:val="002B4C53"/>
    <w:rsid w:val="002C4886"/>
    <w:rsid w:val="0034048D"/>
    <w:rsid w:val="00367A58"/>
    <w:rsid w:val="003D5B90"/>
    <w:rsid w:val="003E5E1B"/>
    <w:rsid w:val="003E6C9D"/>
    <w:rsid w:val="003E7DAA"/>
    <w:rsid w:val="004148EB"/>
    <w:rsid w:val="00420541"/>
    <w:rsid w:val="004308EA"/>
    <w:rsid w:val="004447C6"/>
    <w:rsid w:val="0045612E"/>
    <w:rsid w:val="004C2A46"/>
    <w:rsid w:val="004C5372"/>
    <w:rsid w:val="004E0182"/>
    <w:rsid w:val="004E3BC1"/>
    <w:rsid w:val="00524FFB"/>
    <w:rsid w:val="00527E47"/>
    <w:rsid w:val="005307B0"/>
    <w:rsid w:val="0058586C"/>
    <w:rsid w:val="00585DAF"/>
    <w:rsid w:val="005B0056"/>
    <w:rsid w:val="005C4518"/>
    <w:rsid w:val="006324E5"/>
    <w:rsid w:val="0066284C"/>
    <w:rsid w:val="006732E6"/>
    <w:rsid w:val="006777FB"/>
    <w:rsid w:val="00693FFA"/>
    <w:rsid w:val="006A3D2B"/>
    <w:rsid w:val="006A70F2"/>
    <w:rsid w:val="006B594E"/>
    <w:rsid w:val="006D7A9B"/>
    <w:rsid w:val="006F79D3"/>
    <w:rsid w:val="00706CBB"/>
    <w:rsid w:val="007118D6"/>
    <w:rsid w:val="007121A8"/>
    <w:rsid w:val="00736DAD"/>
    <w:rsid w:val="0074061F"/>
    <w:rsid w:val="0075574D"/>
    <w:rsid w:val="007B0496"/>
    <w:rsid w:val="007B4687"/>
    <w:rsid w:val="007D20A9"/>
    <w:rsid w:val="007E13D2"/>
    <w:rsid w:val="00807D02"/>
    <w:rsid w:val="008358D0"/>
    <w:rsid w:val="00843864"/>
    <w:rsid w:val="008714AF"/>
    <w:rsid w:val="008C39F1"/>
    <w:rsid w:val="008D66F3"/>
    <w:rsid w:val="009000E8"/>
    <w:rsid w:val="009200CD"/>
    <w:rsid w:val="009214E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A6317"/>
    <w:rsid w:val="00AC28A6"/>
    <w:rsid w:val="00B069E5"/>
    <w:rsid w:val="00B26129"/>
    <w:rsid w:val="00B97863"/>
    <w:rsid w:val="00BC31A9"/>
    <w:rsid w:val="00C144BA"/>
    <w:rsid w:val="00CA314D"/>
    <w:rsid w:val="00CC66D2"/>
    <w:rsid w:val="00CC722D"/>
    <w:rsid w:val="00D0148E"/>
    <w:rsid w:val="00D14A4F"/>
    <w:rsid w:val="00D20292"/>
    <w:rsid w:val="00D4618A"/>
    <w:rsid w:val="00D6307F"/>
    <w:rsid w:val="00D72898"/>
    <w:rsid w:val="00D80054"/>
    <w:rsid w:val="00D92B9B"/>
    <w:rsid w:val="00DE6EC2"/>
    <w:rsid w:val="00E01F68"/>
    <w:rsid w:val="00E07C9B"/>
    <w:rsid w:val="00E17834"/>
    <w:rsid w:val="00E20644"/>
    <w:rsid w:val="00E44111"/>
    <w:rsid w:val="00E52083"/>
    <w:rsid w:val="00E63C3D"/>
    <w:rsid w:val="00E81303"/>
    <w:rsid w:val="00EC1BCF"/>
    <w:rsid w:val="00EC1D5B"/>
    <w:rsid w:val="00ED324D"/>
    <w:rsid w:val="00ED666B"/>
    <w:rsid w:val="00EE0ED2"/>
    <w:rsid w:val="00EF6DD5"/>
    <w:rsid w:val="00F05AE9"/>
    <w:rsid w:val="00F15B36"/>
    <w:rsid w:val="00F82BF6"/>
    <w:rsid w:val="00FB5043"/>
    <w:rsid w:val="00FF1C85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ABD80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84</cp:revision>
  <cp:lastPrinted>2023-12-12T12:27:00Z</cp:lastPrinted>
  <dcterms:created xsi:type="dcterms:W3CDTF">2022-11-15T00:04:00Z</dcterms:created>
  <dcterms:modified xsi:type="dcterms:W3CDTF">2023-12-12T16:12:00Z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