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42" w:rsidRPr="00796492" w:rsidRDefault="00ED3942" w:rsidP="00FF17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6492">
        <w:rPr>
          <w:rFonts w:ascii="Times New Roman" w:hAnsi="Times New Roman"/>
          <w:b/>
          <w:sz w:val="28"/>
          <w:szCs w:val="28"/>
        </w:rPr>
        <w:t>О</w:t>
      </w:r>
      <w:r w:rsidR="002068E5" w:rsidRPr="00796492">
        <w:rPr>
          <w:rFonts w:ascii="Times New Roman" w:hAnsi="Times New Roman"/>
          <w:b/>
          <w:sz w:val="28"/>
          <w:szCs w:val="28"/>
        </w:rPr>
        <w:t>тчет</w:t>
      </w:r>
      <w:r w:rsidRPr="00796492">
        <w:rPr>
          <w:rFonts w:ascii="Times New Roman" w:hAnsi="Times New Roman"/>
          <w:b/>
          <w:sz w:val="28"/>
          <w:szCs w:val="28"/>
        </w:rPr>
        <w:t xml:space="preserve"> и анализ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B77B7" w:rsidRPr="00796492">
        <w:rPr>
          <w:rFonts w:ascii="Times New Roman" w:hAnsi="Times New Roman"/>
          <w:b/>
          <w:sz w:val="28"/>
          <w:szCs w:val="28"/>
        </w:rPr>
        <w:t>й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граждан, поступивши</w:t>
      </w:r>
      <w:r w:rsidR="007B77B7" w:rsidRPr="00796492">
        <w:rPr>
          <w:rFonts w:ascii="Times New Roman" w:hAnsi="Times New Roman"/>
          <w:b/>
          <w:sz w:val="28"/>
          <w:szCs w:val="28"/>
        </w:rPr>
        <w:t>х</w:t>
      </w:r>
      <w:r w:rsidRPr="00796492">
        <w:rPr>
          <w:rFonts w:ascii="Times New Roman" w:hAnsi="Times New Roman"/>
          <w:b/>
          <w:sz w:val="28"/>
          <w:szCs w:val="28"/>
        </w:rPr>
        <w:t xml:space="preserve"> </w:t>
      </w:r>
    </w:p>
    <w:p w:rsidR="001868AF" w:rsidRPr="007336BB" w:rsidRDefault="001868AF" w:rsidP="00FF1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BB">
        <w:rPr>
          <w:rFonts w:ascii="Times New Roman" w:hAnsi="Times New Roman"/>
          <w:b/>
          <w:sz w:val="28"/>
          <w:szCs w:val="28"/>
        </w:rPr>
        <w:t>в Государственн</w:t>
      </w:r>
      <w:r w:rsidR="00890A5C">
        <w:rPr>
          <w:rFonts w:ascii="Times New Roman" w:hAnsi="Times New Roman"/>
          <w:b/>
          <w:sz w:val="28"/>
          <w:szCs w:val="28"/>
        </w:rPr>
        <w:t>ый</w:t>
      </w:r>
      <w:r w:rsidRPr="007336BB">
        <w:rPr>
          <w:rFonts w:ascii="Times New Roman" w:hAnsi="Times New Roman"/>
          <w:b/>
          <w:sz w:val="28"/>
          <w:szCs w:val="28"/>
        </w:rPr>
        <w:t xml:space="preserve"> комитет Республики Татарстан по тарифам</w:t>
      </w:r>
    </w:p>
    <w:p w:rsidR="001868AF" w:rsidRPr="007336BB" w:rsidRDefault="001868AF" w:rsidP="00FF1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BB">
        <w:rPr>
          <w:rFonts w:ascii="Times New Roman" w:hAnsi="Times New Roman"/>
          <w:b/>
          <w:sz w:val="28"/>
          <w:szCs w:val="28"/>
        </w:rPr>
        <w:t>за 201</w:t>
      </w:r>
      <w:r w:rsidR="001C4A40">
        <w:rPr>
          <w:rFonts w:ascii="Times New Roman" w:hAnsi="Times New Roman"/>
          <w:b/>
          <w:sz w:val="28"/>
          <w:szCs w:val="28"/>
        </w:rPr>
        <w:t>6</w:t>
      </w:r>
      <w:r w:rsidRPr="007336BB">
        <w:rPr>
          <w:rFonts w:ascii="Times New Roman" w:hAnsi="Times New Roman"/>
          <w:b/>
          <w:sz w:val="28"/>
          <w:szCs w:val="28"/>
        </w:rPr>
        <w:t xml:space="preserve"> год в сравнении с 201</w:t>
      </w:r>
      <w:r w:rsidR="001C4A40">
        <w:rPr>
          <w:rFonts w:ascii="Times New Roman" w:hAnsi="Times New Roman"/>
          <w:b/>
          <w:sz w:val="28"/>
          <w:szCs w:val="28"/>
        </w:rPr>
        <w:t>5</w:t>
      </w:r>
      <w:r w:rsidRPr="007336B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ом</w:t>
      </w:r>
    </w:p>
    <w:p w:rsidR="001C4A40" w:rsidRPr="00F57138" w:rsidRDefault="001C4A40" w:rsidP="004C3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A40" w:rsidRPr="007336BB" w:rsidRDefault="001C4A40" w:rsidP="004C30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>Обращения, заявления граждан поступают в Госкомитет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6BB">
        <w:rPr>
          <w:rFonts w:ascii="Times New Roman" w:hAnsi="Times New Roman"/>
          <w:sz w:val="28"/>
          <w:szCs w:val="28"/>
        </w:rPr>
        <w:t>письменно по почте, в форме электронных обращений (интернет-приемная)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 xml:space="preserve">в форме устных обращений (консультация по телефону), в том числе  по </w:t>
      </w:r>
      <w:r>
        <w:rPr>
          <w:rFonts w:ascii="Times New Roman" w:hAnsi="Times New Roman"/>
          <w:sz w:val="28"/>
          <w:szCs w:val="28"/>
        </w:rPr>
        <w:t xml:space="preserve">телефонам </w:t>
      </w:r>
      <w:r w:rsidRPr="007336BB">
        <w:rPr>
          <w:rFonts w:ascii="Times New Roman" w:hAnsi="Times New Roman"/>
          <w:sz w:val="28"/>
          <w:szCs w:val="28"/>
        </w:rPr>
        <w:t>«Горячей линии»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>личного обращения к должностному лицу во время приема.</w:t>
      </w:r>
    </w:p>
    <w:p w:rsidR="001C4A40" w:rsidRPr="007336BB" w:rsidRDefault="001C4A40" w:rsidP="004C3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>Каждое обращение регистрируется в массиве «Обращения граждан» Единой межведомственной системы электронного документооборота «Электронное Правительство Республики Татарстан»</w:t>
      </w:r>
      <w:r>
        <w:rPr>
          <w:rFonts w:ascii="Times New Roman" w:hAnsi="Times New Roman"/>
          <w:sz w:val="28"/>
          <w:szCs w:val="28"/>
        </w:rPr>
        <w:t xml:space="preserve"> (далее – Электронное правительство),</w:t>
      </w:r>
      <w:r w:rsidRPr="007336BB">
        <w:rPr>
          <w:rFonts w:ascii="Times New Roman" w:hAnsi="Times New Roman"/>
          <w:sz w:val="28"/>
          <w:szCs w:val="28"/>
        </w:rPr>
        <w:t xml:space="preserve"> осуществляется контроль за качеством подготовленного ответа и сроками исполнения. 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52"/>
      </w:tblGrid>
      <w:tr w:rsidR="001C4A40" w:rsidRPr="000705CF" w:rsidTr="004C4253">
        <w:tc>
          <w:tcPr>
            <w:tcW w:w="5211" w:type="dxa"/>
            <w:shd w:val="clear" w:color="auto" w:fill="auto"/>
          </w:tcPr>
          <w:p w:rsidR="001C4A40" w:rsidRPr="008B7DF2" w:rsidRDefault="001C4A40" w:rsidP="004C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5252" w:type="dxa"/>
            <w:shd w:val="clear" w:color="auto" w:fill="auto"/>
          </w:tcPr>
          <w:p w:rsidR="001C4A40" w:rsidRPr="008B7DF2" w:rsidRDefault="001C4A40" w:rsidP="004C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C4A40" w:rsidRPr="000705CF" w:rsidTr="004C4253">
        <w:tc>
          <w:tcPr>
            <w:tcW w:w="5211" w:type="dxa"/>
            <w:shd w:val="clear" w:color="auto" w:fill="auto"/>
          </w:tcPr>
          <w:p w:rsidR="001C4A40" w:rsidRPr="00DA0713" w:rsidRDefault="001C4A40" w:rsidP="006C152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Всего с 01.01.2015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.2015 поступило обращений граждан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2407 </w:t>
            </w:r>
            <w:r w:rsidRPr="0034321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 снижением к 2014 году на 25%</w:t>
            </w:r>
            <w:r w:rsidRPr="00343212">
              <w:rPr>
                <w:rFonts w:ascii="Times New Roman" w:hAnsi="Times New Roman"/>
                <w:sz w:val="24"/>
                <w:szCs w:val="24"/>
              </w:rPr>
              <w:t>)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, из них: </w:t>
            </w:r>
          </w:p>
          <w:p w:rsidR="001C4A40" w:rsidRPr="005106BD" w:rsidRDefault="001C4A40" w:rsidP="006C152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06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письменных обращений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412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C4A40" w:rsidRPr="005106BD" w:rsidRDefault="001C4A40" w:rsidP="006C152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- личный прием граждан - </w:t>
            </w:r>
            <w:r w:rsidRPr="005106BD">
              <w:rPr>
                <w:rFonts w:ascii="Times New Roman" w:hAnsi="Times New Roman"/>
                <w:sz w:val="24"/>
                <w:szCs w:val="24"/>
              </w:rPr>
              <w:t xml:space="preserve">количество приемов - </w:t>
            </w:r>
            <w:r w:rsidRPr="00C014F9">
              <w:rPr>
                <w:rFonts w:ascii="Times New Roman" w:hAnsi="Times New Roman"/>
                <w:sz w:val="24"/>
                <w:szCs w:val="24"/>
              </w:rPr>
              <w:t>86</w:t>
            </w:r>
            <w:r w:rsidRPr="005106BD">
              <w:rPr>
                <w:rFonts w:ascii="Times New Roman" w:hAnsi="Times New Roman"/>
                <w:sz w:val="24"/>
                <w:szCs w:val="24"/>
              </w:rPr>
              <w:t xml:space="preserve"> че</w:t>
            </w:r>
            <w:proofErr w:type="gramStart"/>
            <w:r w:rsidRPr="005106BD">
              <w:rPr>
                <w:rFonts w:ascii="Times New Roman" w:hAnsi="Times New Roman"/>
                <w:sz w:val="24"/>
                <w:szCs w:val="24"/>
              </w:rPr>
              <w:t>л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E6A1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E6A1C">
              <w:rPr>
                <w:rFonts w:ascii="Times New Roman" w:hAnsi="Times New Roman"/>
                <w:sz w:val="24"/>
                <w:szCs w:val="24"/>
              </w:rPr>
              <w:t>т.ч.граждан</w:t>
            </w:r>
            <w:proofErr w:type="spellEnd"/>
            <w:r w:rsidRPr="007E6A1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014F9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ел);</w:t>
            </w:r>
          </w:p>
          <w:p w:rsidR="001C4A40" w:rsidRPr="005106BD" w:rsidRDefault="001C4A40" w:rsidP="006C152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- «Горячая линия»</w:t>
            </w:r>
            <w:r w:rsidRPr="005106BD">
              <w:rPr>
                <w:rFonts w:ascii="Times New Roman" w:hAnsi="Times New Roman"/>
                <w:szCs w:val="28"/>
              </w:rPr>
              <w:t xml:space="preserve">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(</w:t>
            </w:r>
            <w:r w:rsidRPr="005106BD">
              <w:rPr>
                <w:rFonts w:ascii="Times New Roman" w:hAnsi="Times New Roman"/>
                <w:sz w:val="16"/>
                <w:szCs w:val="16"/>
              </w:rPr>
              <w:t xml:space="preserve">обращения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зарегистрированы в Электронном правительстве)</w:t>
            </w:r>
            <w:r w:rsidRPr="005106BD">
              <w:rPr>
                <w:rFonts w:ascii="Times New Roman" w:hAnsi="Times New Roman"/>
                <w:szCs w:val="28"/>
              </w:rPr>
              <w:t xml:space="preserve"> –</w:t>
            </w:r>
            <w:r w:rsidRPr="005106BD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1841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1C4A40" w:rsidRPr="00C7345D" w:rsidRDefault="001C4A40" w:rsidP="006C152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- устных консультаций (по телефону)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(</w:t>
            </w:r>
            <w:r w:rsidRPr="005106BD">
              <w:rPr>
                <w:rFonts w:ascii="Times New Roman" w:hAnsi="Times New Roman"/>
                <w:sz w:val="16"/>
                <w:szCs w:val="16"/>
              </w:rPr>
              <w:t xml:space="preserve">обращения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зарегистрированы в Электронном правительстве)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64.</w:t>
            </w:r>
          </w:p>
        </w:tc>
        <w:tc>
          <w:tcPr>
            <w:tcW w:w="5252" w:type="dxa"/>
            <w:shd w:val="clear" w:color="auto" w:fill="auto"/>
          </w:tcPr>
          <w:p w:rsidR="001C4A40" w:rsidRPr="00DA0713" w:rsidRDefault="001C4A40" w:rsidP="006C152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Всего с 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 поступило обращений граждан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2597 </w:t>
            </w:r>
            <w:r w:rsidRPr="0034321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ростом к 2015 году на 7,9%</w:t>
            </w:r>
            <w:r w:rsidRPr="00343212">
              <w:rPr>
                <w:rFonts w:ascii="Times New Roman" w:hAnsi="Times New Roman"/>
                <w:sz w:val="24"/>
                <w:szCs w:val="24"/>
              </w:rPr>
              <w:t>)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, из них: </w:t>
            </w:r>
          </w:p>
          <w:p w:rsidR="001C4A40" w:rsidRPr="00B502AA" w:rsidRDefault="001C4A40" w:rsidP="006C152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06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письменных обращений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392 </w:t>
            </w:r>
            <w:r w:rsidRPr="00B502AA">
              <w:rPr>
                <w:rFonts w:ascii="Times New Roman" w:hAnsi="Times New Roman"/>
                <w:sz w:val="16"/>
                <w:szCs w:val="16"/>
              </w:rPr>
              <w:t>(6 на рассмотрении со сроками в 2017 году);</w:t>
            </w:r>
          </w:p>
          <w:p w:rsidR="001C4A40" w:rsidRPr="005106BD" w:rsidRDefault="001C4A40" w:rsidP="006C152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- личный прием граждан </w:t>
            </w:r>
            <w:r w:rsidR="00DA7A6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06BD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DA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граждан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r w:rsidR="00DA7A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4A40" w:rsidRPr="005106BD" w:rsidRDefault="001C4A40" w:rsidP="006C152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- «Горячая линия»</w:t>
            </w:r>
            <w:r w:rsidRPr="005106BD">
              <w:rPr>
                <w:rFonts w:ascii="Times New Roman" w:hAnsi="Times New Roman"/>
                <w:szCs w:val="28"/>
              </w:rPr>
              <w:t xml:space="preserve">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(</w:t>
            </w:r>
            <w:r w:rsidRPr="005106BD">
              <w:rPr>
                <w:rFonts w:ascii="Times New Roman" w:hAnsi="Times New Roman"/>
                <w:sz w:val="16"/>
                <w:szCs w:val="16"/>
              </w:rPr>
              <w:t xml:space="preserve">обращения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зарегистрированы в Электронном правительстве)</w:t>
            </w:r>
            <w:r w:rsidRPr="005106BD">
              <w:rPr>
                <w:rFonts w:ascii="Times New Roman" w:hAnsi="Times New Roman"/>
                <w:szCs w:val="28"/>
              </w:rPr>
              <w:t xml:space="preserve"> –</w:t>
            </w:r>
            <w:r w:rsidRPr="005106BD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2061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1C4A40" w:rsidRPr="00C7345D" w:rsidRDefault="001C4A40" w:rsidP="006C152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>- устных консультаций (по телефону)</w:t>
            </w:r>
            <w:r w:rsidRPr="005106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(</w:t>
            </w:r>
            <w:r w:rsidRPr="005106BD">
              <w:rPr>
                <w:rFonts w:ascii="Times New Roman" w:hAnsi="Times New Roman"/>
                <w:sz w:val="16"/>
                <w:szCs w:val="16"/>
              </w:rPr>
              <w:t xml:space="preserve">обращения </w:t>
            </w:r>
            <w:r w:rsidRPr="005106BD">
              <w:rPr>
                <w:rFonts w:ascii="Times New Roman" w:hAnsi="Times New Roman"/>
                <w:sz w:val="18"/>
                <w:szCs w:val="18"/>
              </w:rPr>
              <w:t>зарегистрированы в Электронном правительстве)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601A81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73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C4A40" w:rsidRPr="00DA0713" w:rsidRDefault="001C4A40" w:rsidP="001C4A40">
      <w:pPr>
        <w:pStyle w:val="a7"/>
        <w:ind w:firstLine="709"/>
      </w:pPr>
      <w:r w:rsidRPr="00DA0713">
        <w:t xml:space="preserve">Основными причинами </w:t>
      </w:r>
      <w:r>
        <w:t>роста</w:t>
      </w:r>
      <w:r w:rsidRPr="00DA0713">
        <w:t xml:space="preserve"> количества поступивших в 201</w:t>
      </w:r>
      <w:r>
        <w:t>6</w:t>
      </w:r>
      <w:r w:rsidRPr="00DA0713">
        <w:t xml:space="preserve"> году</w:t>
      </w:r>
      <w:r w:rsidRPr="00DA0713">
        <w:rPr>
          <w:b/>
        </w:rPr>
        <w:t xml:space="preserve"> </w:t>
      </w:r>
      <w:r w:rsidRPr="00DA0713">
        <w:t>обращений граждан, по сравнению с аналогичным периодом 201</w:t>
      </w:r>
      <w:r>
        <w:t>5</w:t>
      </w:r>
      <w:r w:rsidRPr="00DA0713">
        <w:t xml:space="preserve"> года, являются:</w:t>
      </w:r>
    </w:p>
    <w:p w:rsidR="001C4A40" w:rsidRDefault="001C4A40" w:rsidP="001C4A40">
      <w:pPr>
        <w:pStyle w:val="a7"/>
        <w:ind w:firstLine="709"/>
      </w:pPr>
      <w:r>
        <w:t xml:space="preserve">- внесение изменений в Жилищный кодекс Российской Федерации, в части начисления платы за жилищно-коммунальные услуги; </w:t>
      </w:r>
    </w:p>
    <w:p w:rsidR="001C4A40" w:rsidRDefault="001C4A40" w:rsidP="001C4A40">
      <w:pPr>
        <w:pStyle w:val="a7"/>
        <w:ind w:firstLine="709"/>
      </w:pPr>
      <w:r>
        <w:t>- вступление в силу с 1.11.2016 нормативов потребления коммунальной услуги по электроснабжению населением на территории Республики Татарстан утвержденных постановлением Госкомитета от 07.10.2016 №6-79/</w:t>
      </w:r>
      <w:proofErr w:type="spellStart"/>
      <w:r>
        <w:t>тп</w:t>
      </w:r>
      <w:proofErr w:type="spellEnd"/>
      <w:r>
        <w:t>;</w:t>
      </w:r>
    </w:p>
    <w:p w:rsidR="001C4A40" w:rsidRDefault="001C4A40" w:rsidP="001C4A40">
      <w:pPr>
        <w:pStyle w:val="a7"/>
        <w:ind w:firstLine="709"/>
      </w:pPr>
      <w:r>
        <w:t>- изменение тарифов на коммунальные услуги (</w:t>
      </w:r>
      <w:r w:rsidRPr="007E1BB3">
        <w:t>с 01.07.201</w:t>
      </w:r>
      <w:r>
        <w:t>6</w:t>
      </w:r>
      <w:r w:rsidRPr="007E1BB3">
        <w:t xml:space="preserve"> года)</w:t>
      </w:r>
      <w:r>
        <w:t>.</w:t>
      </w:r>
    </w:p>
    <w:p w:rsidR="001C4A40" w:rsidRDefault="001C4A40" w:rsidP="001C4A40">
      <w:pPr>
        <w:pStyle w:val="a7"/>
        <w:ind w:firstLine="709"/>
      </w:pPr>
      <w:r>
        <w:t>В Госкомитете ведется активная разъяснительная работа с населением:</w:t>
      </w:r>
    </w:p>
    <w:p w:rsidR="001C4A40" w:rsidRDefault="001C4A40" w:rsidP="001C4A40">
      <w:pPr>
        <w:pStyle w:val="a7"/>
        <w:tabs>
          <w:tab w:val="left" w:pos="1440"/>
          <w:tab w:val="left" w:pos="9379"/>
        </w:tabs>
        <w:ind w:firstLine="709"/>
      </w:pPr>
      <w:r w:rsidRPr="007E1BB3">
        <w:t xml:space="preserve">- консультирование граждан по средствам телефонов «Горячей линии» Госкомитета и </w:t>
      </w:r>
      <w:r>
        <w:t xml:space="preserve">разъяснительная работа через </w:t>
      </w:r>
      <w:r w:rsidRPr="007E1BB3">
        <w:t>публикации</w:t>
      </w:r>
      <w:r>
        <w:t xml:space="preserve"> на сайте Госкомитета и</w:t>
      </w:r>
      <w:r w:rsidRPr="007E1BB3">
        <w:t xml:space="preserve"> в СМИ</w:t>
      </w:r>
      <w:r>
        <w:t>;</w:t>
      </w:r>
    </w:p>
    <w:p w:rsidR="001C4A40" w:rsidRDefault="001C4A40" w:rsidP="001C4A40">
      <w:pPr>
        <w:pStyle w:val="a7"/>
        <w:ind w:firstLine="709"/>
      </w:pPr>
      <w:r>
        <w:t>- регулярное обновление информации на сайте Госкомитета в разделах: «Тарифы», «Лента новостей», «Обращения и прием граждан», в подразделах «Часто задаваемые вопросы» и «Мониторинг по обращениям граждан».</w:t>
      </w:r>
    </w:p>
    <w:p w:rsidR="001C4A40" w:rsidRDefault="001C4A40" w:rsidP="001C4A40">
      <w:pPr>
        <w:pStyle w:val="a7"/>
        <w:ind w:firstLine="709"/>
      </w:pPr>
      <w:r>
        <w:t>Меры принятые по результатам рассмотрения поступивших в Госкомитет обращений граждан: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2410"/>
        <w:gridCol w:w="2835"/>
        <w:gridCol w:w="1559"/>
      </w:tblGrid>
      <w:tr w:rsidR="001C4A40" w:rsidTr="004C4253">
        <w:tc>
          <w:tcPr>
            <w:tcW w:w="2093" w:type="dxa"/>
            <w:shd w:val="clear" w:color="auto" w:fill="auto"/>
          </w:tcPr>
          <w:p w:rsidR="001C4A40" w:rsidRPr="0081023E" w:rsidRDefault="001C4A40" w:rsidP="004C425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Всего поступило обращений за 201</w:t>
            </w:r>
            <w:r>
              <w:rPr>
                <w:sz w:val="24"/>
                <w:szCs w:val="24"/>
              </w:rPr>
              <w:t>6</w:t>
            </w:r>
            <w:r w:rsidRPr="0081023E">
              <w:rPr>
                <w:sz w:val="24"/>
                <w:szCs w:val="24"/>
              </w:rPr>
              <w:t xml:space="preserve"> год, из них:</w:t>
            </w:r>
          </w:p>
        </w:tc>
        <w:tc>
          <w:tcPr>
            <w:tcW w:w="1559" w:type="dxa"/>
            <w:shd w:val="clear" w:color="auto" w:fill="auto"/>
          </w:tcPr>
          <w:p w:rsidR="001C4A40" w:rsidRPr="0081023E" w:rsidRDefault="001C4A40" w:rsidP="004C425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Разъяснено</w:t>
            </w:r>
          </w:p>
        </w:tc>
        <w:tc>
          <w:tcPr>
            <w:tcW w:w="2410" w:type="dxa"/>
            <w:shd w:val="clear" w:color="auto" w:fill="auto"/>
          </w:tcPr>
          <w:p w:rsidR="001C4A40" w:rsidRPr="0081023E" w:rsidRDefault="001C4A40" w:rsidP="004C425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Обращение рассмотрено, ответ направлен по адресу</w:t>
            </w:r>
          </w:p>
        </w:tc>
        <w:tc>
          <w:tcPr>
            <w:tcW w:w="2835" w:type="dxa"/>
            <w:shd w:val="clear" w:color="auto" w:fill="auto"/>
          </w:tcPr>
          <w:p w:rsidR="001C4A40" w:rsidRPr="0081023E" w:rsidRDefault="001C4A40" w:rsidP="004C425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Обращение направлено по подведомственности, уведомление направлено по адресу</w:t>
            </w:r>
          </w:p>
        </w:tc>
        <w:tc>
          <w:tcPr>
            <w:tcW w:w="1559" w:type="dxa"/>
            <w:shd w:val="clear" w:color="auto" w:fill="auto"/>
          </w:tcPr>
          <w:p w:rsidR="001C4A40" w:rsidRPr="0081023E" w:rsidRDefault="001C4A40" w:rsidP="004C4253">
            <w:pPr>
              <w:pStyle w:val="a7"/>
              <w:jc w:val="center"/>
              <w:rPr>
                <w:sz w:val="24"/>
                <w:szCs w:val="24"/>
              </w:rPr>
            </w:pPr>
            <w:r w:rsidRPr="0081023E">
              <w:rPr>
                <w:sz w:val="24"/>
                <w:szCs w:val="24"/>
              </w:rPr>
              <w:t>Принято к сведению</w:t>
            </w:r>
          </w:p>
        </w:tc>
      </w:tr>
      <w:tr w:rsidR="001C4A40" w:rsidTr="004C4253">
        <w:tc>
          <w:tcPr>
            <w:tcW w:w="2093" w:type="dxa"/>
            <w:shd w:val="clear" w:color="auto" w:fill="auto"/>
          </w:tcPr>
          <w:p w:rsidR="001C4A40" w:rsidRDefault="001C4A40" w:rsidP="004C4253">
            <w:pPr>
              <w:pStyle w:val="a7"/>
              <w:jc w:val="center"/>
            </w:pPr>
            <w:r>
              <w:t>2597</w:t>
            </w:r>
          </w:p>
        </w:tc>
        <w:tc>
          <w:tcPr>
            <w:tcW w:w="1559" w:type="dxa"/>
            <w:shd w:val="clear" w:color="auto" w:fill="auto"/>
          </w:tcPr>
          <w:p w:rsidR="001C4A40" w:rsidRPr="00B502AA" w:rsidRDefault="001C4A40" w:rsidP="004C4253">
            <w:pPr>
              <w:pStyle w:val="a7"/>
              <w:jc w:val="center"/>
            </w:pPr>
            <w:r w:rsidRPr="00B502AA">
              <w:t>2244</w:t>
            </w:r>
          </w:p>
        </w:tc>
        <w:tc>
          <w:tcPr>
            <w:tcW w:w="2410" w:type="dxa"/>
            <w:shd w:val="clear" w:color="auto" w:fill="auto"/>
          </w:tcPr>
          <w:p w:rsidR="001C4A40" w:rsidRPr="00B502AA" w:rsidRDefault="001C4A40" w:rsidP="004C4253">
            <w:pPr>
              <w:pStyle w:val="a7"/>
              <w:jc w:val="center"/>
            </w:pPr>
            <w:r w:rsidRPr="00B502AA">
              <w:t>204</w:t>
            </w:r>
          </w:p>
        </w:tc>
        <w:tc>
          <w:tcPr>
            <w:tcW w:w="2835" w:type="dxa"/>
            <w:shd w:val="clear" w:color="auto" w:fill="auto"/>
          </w:tcPr>
          <w:p w:rsidR="001C4A40" w:rsidRPr="0077681E" w:rsidRDefault="001C4A40" w:rsidP="004C4253">
            <w:pPr>
              <w:pStyle w:val="a7"/>
              <w:jc w:val="center"/>
              <w:rPr>
                <w:highlight w:val="yellow"/>
              </w:rPr>
            </w:pPr>
            <w:r w:rsidRPr="00A9121F">
              <w:t>97</w:t>
            </w:r>
          </w:p>
        </w:tc>
        <w:tc>
          <w:tcPr>
            <w:tcW w:w="1559" w:type="dxa"/>
            <w:shd w:val="clear" w:color="auto" w:fill="auto"/>
          </w:tcPr>
          <w:p w:rsidR="001C4A40" w:rsidRPr="0077681E" w:rsidRDefault="001C4A40" w:rsidP="004C4253">
            <w:pPr>
              <w:pStyle w:val="a7"/>
              <w:jc w:val="center"/>
              <w:rPr>
                <w:highlight w:val="yellow"/>
              </w:rPr>
            </w:pPr>
            <w:r w:rsidRPr="001F0BCB">
              <w:t>46</w:t>
            </w:r>
          </w:p>
        </w:tc>
      </w:tr>
    </w:tbl>
    <w:p w:rsidR="001C4A40" w:rsidRPr="00A16D0B" w:rsidRDefault="001C4A40" w:rsidP="004C3068">
      <w:pPr>
        <w:pStyle w:val="a7"/>
        <w:ind w:firstLine="709"/>
        <w:rPr>
          <w:b/>
        </w:rPr>
      </w:pPr>
      <w:r>
        <w:rPr>
          <w:b/>
          <w:u w:val="single"/>
        </w:rPr>
        <w:lastRenderedPageBreak/>
        <w:t>О</w:t>
      </w:r>
      <w:r w:rsidRPr="00A16D0B">
        <w:rPr>
          <w:b/>
          <w:u w:val="single"/>
        </w:rPr>
        <w:t xml:space="preserve">сновными вопросами граждан </w:t>
      </w:r>
      <w:r w:rsidRPr="002C4D9C">
        <w:rPr>
          <w:b/>
          <w:u w:val="single"/>
        </w:rPr>
        <w:t>за 201</w:t>
      </w:r>
      <w:r>
        <w:rPr>
          <w:b/>
          <w:u w:val="single"/>
        </w:rPr>
        <w:t xml:space="preserve">6 </w:t>
      </w:r>
      <w:r w:rsidRPr="002C4D9C">
        <w:rPr>
          <w:b/>
          <w:u w:val="single"/>
        </w:rPr>
        <w:t>г</w:t>
      </w:r>
      <w:r>
        <w:rPr>
          <w:b/>
          <w:u w:val="single"/>
        </w:rPr>
        <w:t>од</w:t>
      </w:r>
      <w:r w:rsidRPr="00A16D0B">
        <w:rPr>
          <w:b/>
          <w:u w:val="single"/>
        </w:rPr>
        <w:t xml:space="preserve"> являютс</w:t>
      </w:r>
      <w:r w:rsidRPr="00A16D0B">
        <w:rPr>
          <w:b/>
        </w:rPr>
        <w:t>я:</w:t>
      </w:r>
    </w:p>
    <w:p w:rsidR="00D63909" w:rsidRPr="00B51011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 xml:space="preserve">- порядок формирования тарифов на услуги ЖКХ </w:t>
      </w:r>
      <w:r w:rsidRPr="00B51011">
        <w:rPr>
          <w:rFonts w:ascii="Times New Roman" w:hAnsi="Times New Roman"/>
        </w:rPr>
        <w:t xml:space="preserve">(в </w:t>
      </w:r>
      <w:proofErr w:type="spellStart"/>
      <w:r w:rsidRPr="00B51011">
        <w:rPr>
          <w:rFonts w:ascii="Times New Roman" w:hAnsi="Times New Roman"/>
        </w:rPr>
        <w:t>т.ч</w:t>
      </w:r>
      <w:proofErr w:type="gramStart"/>
      <w:r w:rsidRPr="00B51011">
        <w:rPr>
          <w:rFonts w:ascii="Times New Roman" w:hAnsi="Times New Roman"/>
        </w:rPr>
        <w:t>.т</w:t>
      </w:r>
      <w:proofErr w:type="gramEnd"/>
      <w:r w:rsidRPr="00B51011">
        <w:rPr>
          <w:rFonts w:ascii="Times New Roman" w:hAnsi="Times New Roman"/>
        </w:rPr>
        <w:t>арифы</w:t>
      </w:r>
      <w:proofErr w:type="spellEnd"/>
      <w:r w:rsidRPr="00B51011">
        <w:rPr>
          <w:rFonts w:ascii="Times New Roman" w:hAnsi="Times New Roman"/>
        </w:rPr>
        <w:t xml:space="preserve"> на 2016г.) </w:t>
      </w:r>
      <w:r w:rsidRPr="00B5101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9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97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D63909" w:rsidRPr="00B51011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оплата за теплоснабжение – 1</w:t>
      </w:r>
      <w:r>
        <w:rPr>
          <w:rFonts w:ascii="Times New Roman" w:hAnsi="Times New Roman"/>
          <w:sz w:val="28"/>
          <w:szCs w:val="28"/>
        </w:rPr>
        <w:t>5,13</w:t>
      </w:r>
      <w:r w:rsidRPr="00B51011">
        <w:rPr>
          <w:rFonts w:ascii="Times New Roman" w:hAnsi="Times New Roman"/>
          <w:sz w:val="28"/>
          <w:szCs w:val="28"/>
        </w:rPr>
        <w:t xml:space="preserve">% </w:t>
      </w:r>
      <w:r w:rsidRPr="00B51011">
        <w:rPr>
          <w:rFonts w:ascii="Times New Roman" w:hAnsi="Times New Roman"/>
          <w:sz w:val="24"/>
          <w:szCs w:val="24"/>
        </w:rPr>
        <w:t xml:space="preserve">(в </w:t>
      </w:r>
      <w:proofErr w:type="spellStart"/>
      <w:r w:rsidRPr="00B51011">
        <w:rPr>
          <w:rFonts w:ascii="Times New Roman" w:hAnsi="Times New Roman"/>
          <w:sz w:val="24"/>
          <w:szCs w:val="24"/>
        </w:rPr>
        <w:t>т.ч</w:t>
      </w:r>
      <w:proofErr w:type="spellEnd"/>
      <w:r w:rsidRPr="00B51011">
        <w:rPr>
          <w:rFonts w:ascii="Times New Roman" w:hAnsi="Times New Roman"/>
          <w:sz w:val="24"/>
          <w:szCs w:val="24"/>
        </w:rPr>
        <w:t xml:space="preserve">. тариф – </w:t>
      </w:r>
      <w:r>
        <w:rPr>
          <w:rFonts w:ascii="Times New Roman" w:hAnsi="Times New Roman"/>
          <w:sz w:val="24"/>
          <w:szCs w:val="24"/>
        </w:rPr>
        <w:t>2</w:t>
      </w:r>
      <w:r w:rsidRPr="00B510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81</w:t>
      </w:r>
      <w:r w:rsidRPr="00B51011">
        <w:rPr>
          <w:rFonts w:ascii="Times New Roman" w:hAnsi="Times New Roman"/>
          <w:sz w:val="24"/>
          <w:szCs w:val="24"/>
        </w:rPr>
        <w:t>%, оплата – 1</w:t>
      </w:r>
      <w:r>
        <w:rPr>
          <w:rFonts w:ascii="Times New Roman" w:hAnsi="Times New Roman"/>
          <w:sz w:val="24"/>
          <w:szCs w:val="24"/>
        </w:rPr>
        <w:t>2</w:t>
      </w:r>
      <w:r w:rsidRPr="00B510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32</w:t>
      </w:r>
      <w:r w:rsidRPr="00B51011">
        <w:rPr>
          <w:rFonts w:ascii="Times New Roman" w:hAnsi="Times New Roman"/>
          <w:sz w:val="24"/>
          <w:szCs w:val="24"/>
        </w:rPr>
        <w:t>%)</w:t>
      </w:r>
      <w:r w:rsidRPr="00B51011">
        <w:rPr>
          <w:rFonts w:ascii="Times New Roman" w:hAnsi="Times New Roman"/>
          <w:sz w:val="28"/>
          <w:szCs w:val="28"/>
        </w:rPr>
        <w:t>;</w:t>
      </w:r>
    </w:p>
    <w:p w:rsidR="00D63909" w:rsidRPr="00B51011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 xml:space="preserve">- тариф и оплата за электроэнергию </w:t>
      </w:r>
      <w:r w:rsidRPr="00B51011">
        <w:rPr>
          <w:rFonts w:ascii="Times New Roman" w:hAnsi="Times New Roman"/>
        </w:rPr>
        <w:t xml:space="preserve">(в </w:t>
      </w:r>
      <w:proofErr w:type="spellStart"/>
      <w:r w:rsidRPr="00B51011">
        <w:rPr>
          <w:rFonts w:ascii="Times New Roman" w:hAnsi="Times New Roman"/>
        </w:rPr>
        <w:t>т.ч</w:t>
      </w:r>
      <w:proofErr w:type="spellEnd"/>
      <w:r w:rsidRPr="00B51011">
        <w:rPr>
          <w:rFonts w:ascii="Times New Roman" w:hAnsi="Times New Roman"/>
        </w:rPr>
        <w:t>. ОДН и установка, замена электросчетчиков)</w:t>
      </w:r>
      <w:r w:rsidRPr="00B510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13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75</w:t>
      </w:r>
      <w:r w:rsidRPr="00B51011">
        <w:rPr>
          <w:rFonts w:ascii="Times New Roman" w:hAnsi="Times New Roman"/>
          <w:sz w:val="28"/>
          <w:szCs w:val="28"/>
        </w:rPr>
        <w:t>%;</w:t>
      </w:r>
    </w:p>
    <w:p w:rsidR="00D63909" w:rsidRPr="00B51011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 xml:space="preserve">- предоставление и оплата ЖКУ – </w:t>
      </w:r>
      <w:r>
        <w:rPr>
          <w:rFonts w:ascii="Times New Roman" w:hAnsi="Times New Roman"/>
          <w:sz w:val="28"/>
          <w:szCs w:val="28"/>
        </w:rPr>
        <w:t>28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76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D63909" w:rsidRPr="00B51011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 xml:space="preserve">- оплата за капитальный ремонт – </w:t>
      </w:r>
      <w:r>
        <w:rPr>
          <w:rFonts w:ascii="Times New Roman" w:hAnsi="Times New Roman"/>
          <w:sz w:val="28"/>
          <w:szCs w:val="28"/>
        </w:rPr>
        <w:t>2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89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D63909" w:rsidRPr="00B51011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 xml:space="preserve">- тариф и оплата за водоснабжение и водоотведение – </w:t>
      </w:r>
      <w:r>
        <w:rPr>
          <w:rFonts w:ascii="Times New Roman" w:hAnsi="Times New Roman"/>
          <w:sz w:val="28"/>
          <w:szCs w:val="28"/>
        </w:rPr>
        <w:t>4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74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D63909" w:rsidRPr="00B51011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тариф и оплата за горячее водоснабжение – 1</w:t>
      </w:r>
      <w:r>
        <w:rPr>
          <w:rFonts w:ascii="Times New Roman" w:hAnsi="Times New Roman"/>
          <w:sz w:val="28"/>
          <w:szCs w:val="28"/>
        </w:rPr>
        <w:t>1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17</w:t>
      </w:r>
      <w:r w:rsidRPr="00B51011">
        <w:rPr>
          <w:rFonts w:ascii="Times New Roman" w:hAnsi="Times New Roman"/>
          <w:sz w:val="28"/>
          <w:szCs w:val="28"/>
        </w:rPr>
        <w:t>%</w:t>
      </w:r>
    </w:p>
    <w:p w:rsidR="00D63909" w:rsidRPr="00B51011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оплата за ТБО и ли</w:t>
      </w:r>
      <w:proofErr w:type="gramStart"/>
      <w:r w:rsidRPr="00B51011">
        <w:rPr>
          <w:rFonts w:ascii="Times New Roman" w:hAnsi="Times New Roman"/>
          <w:sz w:val="28"/>
          <w:szCs w:val="28"/>
        </w:rPr>
        <w:t xml:space="preserve">фт с </w:t>
      </w:r>
      <w:proofErr w:type="spellStart"/>
      <w:r w:rsidRPr="00B51011">
        <w:rPr>
          <w:rFonts w:ascii="Times New Roman" w:hAnsi="Times New Roman"/>
          <w:sz w:val="28"/>
          <w:szCs w:val="28"/>
        </w:rPr>
        <w:t>кв</w:t>
      </w:r>
      <w:proofErr w:type="gramEnd"/>
      <w:r w:rsidRPr="00B51011">
        <w:rPr>
          <w:rFonts w:ascii="Times New Roman" w:hAnsi="Times New Roman"/>
          <w:sz w:val="28"/>
          <w:szCs w:val="28"/>
        </w:rPr>
        <w:t>.м</w:t>
      </w:r>
      <w:proofErr w:type="spellEnd"/>
      <w:r w:rsidRPr="00B51011">
        <w:rPr>
          <w:rFonts w:ascii="Times New Roman" w:hAnsi="Times New Roman"/>
          <w:sz w:val="28"/>
          <w:szCs w:val="28"/>
        </w:rPr>
        <w:t>. – 2,</w:t>
      </w:r>
      <w:r>
        <w:rPr>
          <w:rFonts w:ascii="Times New Roman" w:hAnsi="Times New Roman"/>
          <w:sz w:val="28"/>
          <w:szCs w:val="28"/>
        </w:rPr>
        <w:t>70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D63909" w:rsidRPr="00B51011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 xml:space="preserve">- тарифы на транспортные услуги и услуги связи – </w:t>
      </w:r>
      <w:r>
        <w:rPr>
          <w:rFonts w:ascii="Times New Roman" w:hAnsi="Times New Roman"/>
          <w:sz w:val="28"/>
          <w:szCs w:val="28"/>
        </w:rPr>
        <w:t>4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77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D63909" w:rsidRPr="00B51011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цены и тарифы социа</w:t>
      </w:r>
      <w:r>
        <w:rPr>
          <w:rFonts w:ascii="Times New Roman" w:hAnsi="Times New Roman"/>
          <w:sz w:val="28"/>
          <w:szCs w:val="28"/>
        </w:rPr>
        <w:t>льной и непромышленной сферы – 5</w:t>
      </w:r>
      <w:r w:rsidRPr="00B510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01</w:t>
      </w:r>
      <w:r w:rsidRPr="00B51011">
        <w:rPr>
          <w:rFonts w:ascii="Times New Roman" w:hAnsi="Times New Roman"/>
          <w:sz w:val="28"/>
          <w:szCs w:val="28"/>
        </w:rPr>
        <w:t xml:space="preserve"> % </w:t>
      </w:r>
    </w:p>
    <w:p w:rsidR="00D63909" w:rsidRPr="00B51011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плата за технологическое присоединение – 0,</w:t>
      </w:r>
      <w:r>
        <w:rPr>
          <w:rFonts w:ascii="Times New Roman" w:hAnsi="Times New Roman"/>
          <w:sz w:val="28"/>
          <w:szCs w:val="28"/>
        </w:rPr>
        <w:t>65</w:t>
      </w:r>
      <w:r w:rsidRPr="00B51011">
        <w:rPr>
          <w:rFonts w:ascii="Times New Roman" w:hAnsi="Times New Roman"/>
          <w:sz w:val="28"/>
          <w:szCs w:val="28"/>
        </w:rPr>
        <w:t xml:space="preserve"> %;</w:t>
      </w:r>
    </w:p>
    <w:p w:rsidR="00D63909" w:rsidRDefault="00D63909" w:rsidP="00D63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011">
        <w:rPr>
          <w:rFonts w:ascii="Times New Roman" w:hAnsi="Times New Roman"/>
          <w:sz w:val="28"/>
          <w:szCs w:val="28"/>
        </w:rPr>
        <w:t>- кадровая политика Госкомитета – 0</w:t>
      </w:r>
      <w:r>
        <w:rPr>
          <w:rFonts w:ascii="Times New Roman" w:hAnsi="Times New Roman"/>
          <w:sz w:val="28"/>
          <w:szCs w:val="28"/>
        </w:rPr>
        <w:t>,46</w:t>
      </w:r>
      <w:r w:rsidRPr="00B51011">
        <w:rPr>
          <w:rFonts w:ascii="Times New Roman" w:hAnsi="Times New Roman"/>
          <w:sz w:val="28"/>
          <w:szCs w:val="28"/>
        </w:rPr>
        <w:t>%</w:t>
      </w:r>
    </w:p>
    <w:p w:rsidR="00D63909" w:rsidRDefault="00D63909" w:rsidP="004C3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4A40" w:rsidRDefault="001C4A40" w:rsidP="004C3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2F">
        <w:rPr>
          <w:rFonts w:ascii="Times New Roman" w:hAnsi="Times New Roman"/>
          <w:sz w:val="28"/>
          <w:szCs w:val="28"/>
        </w:rPr>
        <w:t xml:space="preserve">Анализ поступивших обращений показал, что основное количество составляют обращения жителей </w:t>
      </w:r>
      <w:proofErr w:type="spellStart"/>
      <w:r w:rsidRPr="00C3772F">
        <w:rPr>
          <w:rFonts w:ascii="Times New Roman" w:hAnsi="Times New Roman"/>
          <w:sz w:val="28"/>
          <w:szCs w:val="28"/>
        </w:rPr>
        <w:t>г.Казани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(88%), увеличилось количество обращений из муниципальных районов, из них наибольшее количество обращений жителей районов республики поступают из МО: «</w:t>
      </w:r>
      <w:proofErr w:type="spellStart"/>
      <w:r w:rsidRPr="00C3772F">
        <w:rPr>
          <w:rFonts w:ascii="Times New Roman" w:hAnsi="Times New Roman"/>
          <w:sz w:val="28"/>
          <w:szCs w:val="28"/>
        </w:rPr>
        <w:t>г.Набережные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Челны»,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«Нижнекамский муниципальный район»</w:t>
      </w:r>
      <w:r>
        <w:rPr>
          <w:rFonts w:ascii="Times New Roman" w:hAnsi="Times New Roman"/>
          <w:sz w:val="28"/>
          <w:szCs w:val="28"/>
        </w:rPr>
        <w:t>,</w:t>
      </w:r>
      <w:r w:rsidRPr="00C377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3772F">
        <w:rPr>
          <w:rFonts w:ascii="Times New Roman" w:hAnsi="Times New Roman"/>
          <w:sz w:val="28"/>
          <w:szCs w:val="28"/>
        </w:rPr>
        <w:t>Альметьевский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>
        <w:rPr>
          <w:rFonts w:ascii="Times New Roman" w:hAnsi="Times New Roman"/>
          <w:sz w:val="28"/>
          <w:szCs w:val="28"/>
        </w:rPr>
        <w:t>Агрызский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Альметьевский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Чистопольский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>,</w:t>
      </w:r>
      <w:r w:rsidRPr="00C3772F">
        <w:rPr>
          <w:rFonts w:ascii="Times New Roman" w:hAnsi="Times New Roman"/>
          <w:sz w:val="28"/>
          <w:szCs w:val="28"/>
        </w:rPr>
        <w:t xml:space="preserve"> </w:t>
      </w:r>
      <w:r w:rsidRPr="00196AB1">
        <w:rPr>
          <w:rFonts w:ascii="Times New Roman" w:hAnsi="Times New Roman"/>
          <w:sz w:val="28"/>
          <w:szCs w:val="28"/>
        </w:rPr>
        <w:t>«</w:t>
      </w:r>
      <w:proofErr w:type="spellStart"/>
      <w:r w:rsidRPr="00196AB1">
        <w:rPr>
          <w:rFonts w:ascii="Times New Roman" w:hAnsi="Times New Roman"/>
          <w:sz w:val="28"/>
          <w:szCs w:val="28"/>
        </w:rPr>
        <w:t>Елабужский</w:t>
      </w:r>
      <w:proofErr w:type="spellEnd"/>
      <w:r w:rsidRPr="00196AB1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C3772F">
        <w:rPr>
          <w:rFonts w:ascii="Times New Roman" w:hAnsi="Times New Roman"/>
          <w:sz w:val="28"/>
          <w:szCs w:val="28"/>
        </w:rPr>
        <w:t>, «</w:t>
      </w:r>
      <w:proofErr w:type="spellStart"/>
      <w:r w:rsidRPr="00C3772F">
        <w:rPr>
          <w:rFonts w:ascii="Times New Roman" w:hAnsi="Times New Roman"/>
          <w:sz w:val="28"/>
          <w:szCs w:val="28"/>
        </w:rPr>
        <w:t>Бугульминский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Заинский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Лаишевскимй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>.</w:t>
      </w:r>
    </w:p>
    <w:p w:rsidR="001C4A40" w:rsidRPr="00C3772F" w:rsidRDefault="001C4A40" w:rsidP="004C3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4A40" w:rsidRDefault="001C4A40" w:rsidP="004C3068">
      <w:pPr>
        <w:spacing w:after="0" w:line="240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C3772F">
        <w:rPr>
          <w:rFonts w:ascii="Times New Roman" w:hAnsi="Times New Roman"/>
          <w:sz w:val="28"/>
          <w:szCs w:val="28"/>
        </w:rPr>
        <w:t>Статистика Госкомитета по</w:t>
      </w:r>
      <w:r>
        <w:rPr>
          <w:rFonts w:ascii="Times New Roman" w:hAnsi="Times New Roman"/>
          <w:sz w:val="28"/>
          <w:szCs w:val="28"/>
        </w:rPr>
        <w:t>ступающих</w:t>
      </w:r>
      <w:r w:rsidRPr="00C3772F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C3772F">
        <w:rPr>
          <w:rFonts w:ascii="Times New Roman" w:hAnsi="Times New Roman"/>
          <w:sz w:val="28"/>
          <w:szCs w:val="28"/>
        </w:rPr>
        <w:t xml:space="preserve"> граждан размещ</w:t>
      </w:r>
      <w:r>
        <w:rPr>
          <w:rFonts w:ascii="Times New Roman" w:hAnsi="Times New Roman"/>
          <w:sz w:val="28"/>
          <w:szCs w:val="28"/>
        </w:rPr>
        <w:t>ается</w:t>
      </w:r>
      <w:r w:rsidRPr="00C3772F">
        <w:rPr>
          <w:rFonts w:ascii="Times New Roman" w:hAnsi="Times New Roman"/>
          <w:sz w:val="28"/>
          <w:szCs w:val="28"/>
        </w:rPr>
        <w:t xml:space="preserve"> на сайте Госкомитета</w:t>
      </w:r>
      <w:r>
        <w:rPr>
          <w:rFonts w:ascii="Times New Roman" w:hAnsi="Times New Roman"/>
          <w:sz w:val="28"/>
          <w:szCs w:val="28"/>
        </w:rPr>
        <w:t>:</w:t>
      </w:r>
      <w:r w:rsidRPr="00C37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kt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772F">
        <w:rPr>
          <w:rFonts w:ascii="Times New Roman" w:hAnsi="Times New Roman"/>
          <w:sz w:val="28"/>
          <w:szCs w:val="28"/>
        </w:rPr>
        <w:t>, в раздел</w:t>
      </w:r>
      <w:r>
        <w:rPr>
          <w:rFonts w:ascii="Times New Roman" w:hAnsi="Times New Roman"/>
          <w:sz w:val="28"/>
          <w:szCs w:val="28"/>
        </w:rPr>
        <w:t>е</w:t>
      </w:r>
      <w:r w:rsidRPr="00C377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«Обращения и прием граждан»,</w:t>
      </w:r>
      <w:r w:rsidRPr="00C3772F">
        <w:rPr>
          <w:rFonts w:ascii="Times New Roman" w:hAnsi="Times New Roman"/>
          <w:sz w:val="28"/>
          <w:szCs w:val="28"/>
        </w:rPr>
        <w:t xml:space="preserve"> в подразделе: «Мониторинг по обращениям граждан».</w:t>
      </w:r>
    </w:p>
    <w:p w:rsidR="001C4A40" w:rsidRPr="000705CF" w:rsidRDefault="001C4A40" w:rsidP="004C3068">
      <w:pPr>
        <w:spacing w:line="240" w:lineRule="auto"/>
        <w:jc w:val="center"/>
        <w:rPr>
          <w:rFonts w:ascii="Times New Roman" w:hAnsi="Times New Roman"/>
          <w:b/>
          <w:szCs w:val="28"/>
        </w:rPr>
        <w:sectPr w:rsidR="001C4A40" w:rsidRPr="000705CF" w:rsidSect="001B4D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C4A40" w:rsidRPr="00136743" w:rsidRDefault="001C4A40" w:rsidP="00C72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743">
        <w:rPr>
          <w:rFonts w:ascii="Times New Roman" w:hAnsi="Times New Roman"/>
          <w:b/>
          <w:sz w:val="28"/>
          <w:szCs w:val="28"/>
        </w:rPr>
        <w:lastRenderedPageBreak/>
        <w:t>СТАТИСТИЧЕСКИЕ ДАННЫЕ</w:t>
      </w:r>
    </w:p>
    <w:p w:rsidR="001C4A40" w:rsidRPr="00136743" w:rsidRDefault="001C4A40" w:rsidP="00C72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743">
        <w:rPr>
          <w:rFonts w:ascii="Times New Roman" w:hAnsi="Times New Roman"/>
          <w:b/>
          <w:sz w:val="28"/>
          <w:szCs w:val="28"/>
        </w:rPr>
        <w:t>о работе с обращениями граждан министерств и ведомств Республики Татарстан</w:t>
      </w:r>
    </w:p>
    <w:p w:rsidR="001C4A40" w:rsidRPr="00136743" w:rsidRDefault="001C4A40" w:rsidP="00C72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743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13674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C4A40" w:rsidRPr="00136743" w:rsidRDefault="001C4A40" w:rsidP="00C72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276"/>
        <w:gridCol w:w="1276"/>
        <w:gridCol w:w="992"/>
        <w:gridCol w:w="992"/>
        <w:gridCol w:w="1276"/>
        <w:gridCol w:w="1559"/>
        <w:gridCol w:w="1134"/>
        <w:gridCol w:w="1276"/>
        <w:gridCol w:w="992"/>
        <w:gridCol w:w="1277"/>
      </w:tblGrid>
      <w:tr w:rsidR="001C4A40" w:rsidRPr="00136743" w:rsidTr="004C4253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136743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4A40" w:rsidRPr="009A13F8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13F8">
              <w:rPr>
                <w:rFonts w:ascii="Times New Roman" w:hAnsi="Times New Roman"/>
                <w:sz w:val="20"/>
                <w:szCs w:val="20"/>
              </w:rPr>
              <w:t>Министерство/Ведомство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граждан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 xml:space="preserve"> обращений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 xml:space="preserve"> граждан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Личный прием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6256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62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руководством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FC6256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FC6256">
              <w:rPr>
                <w:rFonts w:ascii="Times New Roman" w:hAnsi="Times New Roman"/>
                <w:sz w:val="20"/>
                <w:szCs w:val="20"/>
              </w:rPr>
              <w:t>. по системе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видео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Письменные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Взято на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Проверено с выездом на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Решено положительно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Поступило</w:t>
            </w:r>
          </w:p>
          <w:p w:rsidR="001C4A40" w:rsidRPr="00FC6256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6256">
              <w:rPr>
                <w:rFonts w:ascii="Times New Roman" w:hAnsi="Times New Roman"/>
                <w:sz w:val="20"/>
                <w:szCs w:val="20"/>
              </w:rPr>
              <w:t>через Интернет-приемную</w:t>
            </w:r>
          </w:p>
        </w:tc>
      </w:tr>
      <w:tr w:rsidR="001C4A40" w:rsidRPr="00136743" w:rsidTr="004C4253">
        <w:trPr>
          <w:trHeight w:val="6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136743" w:rsidRDefault="001C4A40" w:rsidP="00C72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B47E7D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B47E7D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7E7D">
              <w:rPr>
                <w:rFonts w:ascii="Times New Roman" w:eastAsia="Times New Roman" w:hAnsi="Times New Roman"/>
                <w:sz w:val="28"/>
                <w:szCs w:val="28"/>
              </w:rPr>
              <w:t>2407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7A06FC" w:rsidRDefault="0084602E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7A06FC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E0566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7A06FC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E0566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7A06FC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E0566B">
              <w:rPr>
                <w:rFonts w:ascii="Times New Roman" w:eastAsia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7A06FC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E0566B">
              <w:rPr>
                <w:rFonts w:ascii="Times New Roman" w:eastAsia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7A06FC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E0566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E0566B" w:rsidRDefault="0084602E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0" w:rsidRPr="007A06FC" w:rsidRDefault="001C4A40" w:rsidP="00C72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E0566B">
              <w:rPr>
                <w:rFonts w:ascii="Times New Roman" w:eastAsia="Times New Roman" w:hAnsi="Times New Roman"/>
                <w:sz w:val="28"/>
                <w:szCs w:val="28"/>
              </w:rPr>
              <w:t>139</w:t>
            </w:r>
          </w:p>
        </w:tc>
      </w:tr>
    </w:tbl>
    <w:p w:rsidR="001C4A40" w:rsidRPr="00136743" w:rsidRDefault="001C4A40" w:rsidP="00C720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2071" w:rsidRPr="00136743" w:rsidRDefault="00C72071" w:rsidP="00C72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743">
        <w:rPr>
          <w:rFonts w:ascii="Times New Roman" w:hAnsi="Times New Roman"/>
          <w:sz w:val="28"/>
          <w:szCs w:val="28"/>
        </w:rPr>
        <w:t>Сведения</w:t>
      </w:r>
    </w:p>
    <w:p w:rsidR="00C72071" w:rsidRDefault="00C72071" w:rsidP="00C72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743">
        <w:rPr>
          <w:rFonts w:ascii="Times New Roman" w:hAnsi="Times New Roman"/>
          <w:sz w:val="28"/>
          <w:szCs w:val="28"/>
        </w:rPr>
        <w:t>о проведении единого приёмного дня граждан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D31">
        <w:rPr>
          <w:rFonts w:ascii="Times New Roman" w:hAnsi="Times New Roman"/>
          <w:sz w:val="28"/>
          <w:szCs w:val="28"/>
        </w:rPr>
        <w:t>Государственном комитете Республики Татарстан по тарифам</w:t>
      </w:r>
      <w:r w:rsidRPr="00136743">
        <w:rPr>
          <w:rFonts w:ascii="Times New Roman" w:hAnsi="Times New Roman"/>
          <w:sz w:val="28"/>
          <w:szCs w:val="28"/>
        </w:rPr>
        <w:t xml:space="preserve"> </w:t>
      </w:r>
    </w:p>
    <w:p w:rsidR="00C72071" w:rsidRPr="00136743" w:rsidRDefault="00C72071" w:rsidP="00C72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743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6</w:t>
      </w:r>
      <w:r w:rsidRPr="00136743">
        <w:rPr>
          <w:rFonts w:ascii="Times New Roman" w:hAnsi="Times New Roman"/>
          <w:sz w:val="28"/>
          <w:szCs w:val="28"/>
        </w:rPr>
        <w:t xml:space="preserve"> год</w:t>
      </w:r>
    </w:p>
    <w:p w:rsidR="00C72071" w:rsidRPr="00136743" w:rsidRDefault="00C72071" w:rsidP="00C72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C72071" w:rsidRPr="00136743" w:rsidTr="004C425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71" w:rsidRPr="00136743" w:rsidRDefault="00C72071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Наименование органа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71" w:rsidRPr="00136743" w:rsidRDefault="00C72071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Количество</w:t>
            </w:r>
          </w:p>
          <w:p w:rsidR="00C72071" w:rsidRPr="00136743" w:rsidRDefault="00C72071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71" w:rsidRPr="00136743" w:rsidRDefault="00C72071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136743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136743">
              <w:rPr>
                <w:rFonts w:ascii="Times New Roman" w:hAnsi="Times New Roman"/>
                <w:sz w:val="28"/>
              </w:rPr>
              <w:t>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71" w:rsidRPr="00136743" w:rsidRDefault="00C72071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71" w:rsidRPr="00136743" w:rsidRDefault="00C72071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136743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136743">
              <w:rPr>
                <w:rFonts w:ascii="Times New Roman" w:hAnsi="Times New Roman"/>
                <w:sz w:val="28"/>
              </w:rPr>
              <w:t>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71" w:rsidRPr="00136743" w:rsidRDefault="00C72071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</w:t>
            </w:r>
            <w:proofErr w:type="gramStart"/>
            <w:r w:rsidRPr="00136743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136743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136743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136743">
              <w:rPr>
                <w:rFonts w:ascii="Times New Roman" w:hAnsi="Times New Roman"/>
                <w:sz w:val="28"/>
              </w:rPr>
              <w:t>ыездных приемов</w:t>
            </w:r>
          </w:p>
        </w:tc>
      </w:tr>
      <w:tr w:rsidR="00C72071" w:rsidRPr="00136743" w:rsidTr="004C4253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1" w:rsidRPr="00136743" w:rsidRDefault="00C72071" w:rsidP="004C4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1" w:rsidRPr="00A612A4" w:rsidRDefault="00D8532C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1" w:rsidRPr="00A612A4" w:rsidRDefault="00C72071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1" w:rsidRPr="00A612A4" w:rsidRDefault="00D8532C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52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1" w:rsidRPr="00A612A4" w:rsidRDefault="00C72071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1" w:rsidRPr="00136743" w:rsidRDefault="00C72071" w:rsidP="004C4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-</w:t>
            </w:r>
          </w:p>
        </w:tc>
      </w:tr>
    </w:tbl>
    <w:p w:rsidR="00C72071" w:rsidRDefault="00C72071" w:rsidP="00C7207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868AF" w:rsidRPr="00136743" w:rsidRDefault="001868AF" w:rsidP="00AF0C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1868AF" w:rsidRPr="00136743" w:rsidSect="001E2C0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9F"/>
    <w:rsid w:val="00022C15"/>
    <w:rsid w:val="00045906"/>
    <w:rsid w:val="00052F58"/>
    <w:rsid w:val="00075815"/>
    <w:rsid w:val="00081C24"/>
    <w:rsid w:val="000934D3"/>
    <w:rsid w:val="000A0025"/>
    <w:rsid w:val="000B28A6"/>
    <w:rsid w:val="000B3281"/>
    <w:rsid w:val="000B3904"/>
    <w:rsid w:val="000B7FCE"/>
    <w:rsid w:val="000D6620"/>
    <w:rsid w:val="000D7F12"/>
    <w:rsid w:val="000E11AC"/>
    <w:rsid w:val="000F3263"/>
    <w:rsid w:val="000F3740"/>
    <w:rsid w:val="000F4ECD"/>
    <w:rsid w:val="00116742"/>
    <w:rsid w:val="00117FBC"/>
    <w:rsid w:val="00132FE2"/>
    <w:rsid w:val="00136FDE"/>
    <w:rsid w:val="00140E2F"/>
    <w:rsid w:val="001868AF"/>
    <w:rsid w:val="001963C2"/>
    <w:rsid w:val="001A6DDF"/>
    <w:rsid w:val="001B0659"/>
    <w:rsid w:val="001B4D74"/>
    <w:rsid w:val="001C4A40"/>
    <w:rsid w:val="001C6F6D"/>
    <w:rsid w:val="001D2C6C"/>
    <w:rsid w:val="001D7207"/>
    <w:rsid w:val="001D72A1"/>
    <w:rsid w:val="001E2574"/>
    <w:rsid w:val="001E2C03"/>
    <w:rsid w:val="001F428C"/>
    <w:rsid w:val="0020338C"/>
    <w:rsid w:val="002068E5"/>
    <w:rsid w:val="00216B85"/>
    <w:rsid w:val="002239D2"/>
    <w:rsid w:val="00247D4F"/>
    <w:rsid w:val="00253FBD"/>
    <w:rsid w:val="00262EE5"/>
    <w:rsid w:val="0029224A"/>
    <w:rsid w:val="00292982"/>
    <w:rsid w:val="00294C8B"/>
    <w:rsid w:val="002A3314"/>
    <w:rsid w:val="002B4E37"/>
    <w:rsid w:val="002B7816"/>
    <w:rsid w:val="002D4345"/>
    <w:rsid w:val="002E009B"/>
    <w:rsid w:val="002E1FB0"/>
    <w:rsid w:val="002E27C7"/>
    <w:rsid w:val="002E77CB"/>
    <w:rsid w:val="003009B6"/>
    <w:rsid w:val="00305A2B"/>
    <w:rsid w:val="00311866"/>
    <w:rsid w:val="00343BB5"/>
    <w:rsid w:val="00350AFF"/>
    <w:rsid w:val="00353A79"/>
    <w:rsid w:val="003540BD"/>
    <w:rsid w:val="00366CEC"/>
    <w:rsid w:val="00371FC7"/>
    <w:rsid w:val="003928BF"/>
    <w:rsid w:val="003952FA"/>
    <w:rsid w:val="003A599C"/>
    <w:rsid w:val="003B0DBB"/>
    <w:rsid w:val="003B1396"/>
    <w:rsid w:val="003B2EF6"/>
    <w:rsid w:val="00405FC5"/>
    <w:rsid w:val="0041049F"/>
    <w:rsid w:val="00411C56"/>
    <w:rsid w:val="00437C4C"/>
    <w:rsid w:val="00441161"/>
    <w:rsid w:val="0045559F"/>
    <w:rsid w:val="004878EA"/>
    <w:rsid w:val="004909EB"/>
    <w:rsid w:val="004B4623"/>
    <w:rsid w:val="004C3068"/>
    <w:rsid w:val="004D74D5"/>
    <w:rsid w:val="004E70F6"/>
    <w:rsid w:val="0050320A"/>
    <w:rsid w:val="005168E3"/>
    <w:rsid w:val="005240EC"/>
    <w:rsid w:val="00530028"/>
    <w:rsid w:val="00544BAC"/>
    <w:rsid w:val="00597873"/>
    <w:rsid w:val="005A620C"/>
    <w:rsid w:val="005B7488"/>
    <w:rsid w:val="005D48B6"/>
    <w:rsid w:val="005E2ABD"/>
    <w:rsid w:val="0062329C"/>
    <w:rsid w:val="006242A6"/>
    <w:rsid w:val="006253EC"/>
    <w:rsid w:val="00631E40"/>
    <w:rsid w:val="00632D85"/>
    <w:rsid w:val="00696B15"/>
    <w:rsid w:val="00697A48"/>
    <w:rsid w:val="006A0ACA"/>
    <w:rsid w:val="006C1522"/>
    <w:rsid w:val="006D2C14"/>
    <w:rsid w:val="006D7E6B"/>
    <w:rsid w:val="006E1F89"/>
    <w:rsid w:val="00714D6A"/>
    <w:rsid w:val="00757428"/>
    <w:rsid w:val="00763058"/>
    <w:rsid w:val="00773CC3"/>
    <w:rsid w:val="0078256E"/>
    <w:rsid w:val="00784401"/>
    <w:rsid w:val="00785922"/>
    <w:rsid w:val="00796492"/>
    <w:rsid w:val="007B77B7"/>
    <w:rsid w:val="007D46F4"/>
    <w:rsid w:val="007E568C"/>
    <w:rsid w:val="007F355A"/>
    <w:rsid w:val="00800CD2"/>
    <w:rsid w:val="00816615"/>
    <w:rsid w:val="00826859"/>
    <w:rsid w:val="0084602E"/>
    <w:rsid w:val="00846484"/>
    <w:rsid w:val="00852C9C"/>
    <w:rsid w:val="00852EA9"/>
    <w:rsid w:val="008605E2"/>
    <w:rsid w:val="00861B1C"/>
    <w:rsid w:val="00890A5C"/>
    <w:rsid w:val="00892709"/>
    <w:rsid w:val="008947D4"/>
    <w:rsid w:val="008B1105"/>
    <w:rsid w:val="008B75EB"/>
    <w:rsid w:val="008C73C9"/>
    <w:rsid w:val="008C741E"/>
    <w:rsid w:val="00926304"/>
    <w:rsid w:val="00934670"/>
    <w:rsid w:val="00940BFB"/>
    <w:rsid w:val="00947969"/>
    <w:rsid w:val="009851BA"/>
    <w:rsid w:val="009A36D3"/>
    <w:rsid w:val="009A3C24"/>
    <w:rsid w:val="009B5A7E"/>
    <w:rsid w:val="009C3402"/>
    <w:rsid w:val="009E74A9"/>
    <w:rsid w:val="009F7B2F"/>
    <w:rsid w:val="00A0427B"/>
    <w:rsid w:val="00A05961"/>
    <w:rsid w:val="00A20187"/>
    <w:rsid w:val="00A22A9F"/>
    <w:rsid w:val="00A2447A"/>
    <w:rsid w:val="00A33794"/>
    <w:rsid w:val="00A376B1"/>
    <w:rsid w:val="00A47A82"/>
    <w:rsid w:val="00A53B45"/>
    <w:rsid w:val="00A57289"/>
    <w:rsid w:val="00A61DD1"/>
    <w:rsid w:val="00A66595"/>
    <w:rsid w:val="00A73842"/>
    <w:rsid w:val="00A750B3"/>
    <w:rsid w:val="00A76906"/>
    <w:rsid w:val="00A90393"/>
    <w:rsid w:val="00AA2BC7"/>
    <w:rsid w:val="00AB7214"/>
    <w:rsid w:val="00AC287F"/>
    <w:rsid w:val="00AE51B1"/>
    <w:rsid w:val="00AF0C3C"/>
    <w:rsid w:val="00AF3B33"/>
    <w:rsid w:val="00B043DA"/>
    <w:rsid w:val="00B4374B"/>
    <w:rsid w:val="00B63856"/>
    <w:rsid w:val="00B676FB"/>
    <w:rsid w:val="00B803E3"/>
    <w:rsid w:val="00B8634A"/>
    <w:rsid w:val="00B978EA"/>
    <w:rsid w:val="00BB14E8"/>
    <w:rsid w:val="00BC6DDC"/>
    <w:rsid w:val="00BD0B2C"/>
    <w:rsid w:val="00C107E7"/>
    <w:rsid w:val="00C11C58"/>
    <w:rsid w:val="00C34A18"/>
    <w:rsid w:val="00C6565A"/>
    <w:rsid w:val="00C72071"/>
    <w:rsid w:val="00C779CE"/>
    <w:rsid w:val="00C8233B"/>
    <w:rsid w:val="00C84AFB"/>
    <w:rsid w:val="00C92300"/>
    <w:rsid w:val="00CB31B1"/>
    <w:rsid w:val="00D00D81"/>
    <w:rsid w:val="00D00DBB"/>
    <w:rsid w:val="00D016D2"/>
    <w:rsid w:val="00D25C1E"/>
    <w:rsid w:val="00D30EE7"/>
    <w:rsid w:val="00D37A23"/>
    <w:rsid w:val="00D63909"/>
    <w:rsid w:val="00D8244A"/>
    <w:rsid w:val="00D841EE"/>
    <w:rsid w:val="00D8532C"/>
    <w:rsid w:val="00D95C13"/>
    <w:rsid w:val="00DA7A6C"/>
    <w:rsid w:val="00DB1CD5"/>
    <w:rsid w:val="00DB3489"/>
    <w:rsid w:val="00DB7A65"/>
    <w:rsid w:val="00DB7D6B"/>
    <w:rsid w:val="00DC7463"/>
    <w:rsid w:val="00DD249A"/>
    <w:rsid w:val="00DD407A"/>
    <w:rsid w:val="00DE5078"/>
    <w:rsid w:val="00E05484"/>
    <w:rsid w:val="00E07FAD"/>
    <w:rsid w:val="00E4470B"/>
    <w:rsid w:val="00E45D3A"/>
    <w:rsid w:val="00E51519"/>
    <w:rsid w:val="00E6481D"/>
    <w:rsid w:val="00E77888"/>
    <w:rsid w:val="00E806D0"/>
    <w:rsid w:val="00E97066"/>
    <w:rsid w:val="00EC07B8"/>
    <w:rsid w:val="00EC6BD2"/>
    <w:rsid w:val="00ED3942"/>
    <w:rsid w:val="00ED3EA8"/>
    <w:rsid w:val="00EE185D"/>
    <w:rsid w:val="00EF60C2"/>
    <w:rsid w:val="00EF66B6"/>
    <w:rsid w:val="00F25B1B"/>
    <w:rsid w:val="00F3245D"/>
    <w:rsid w:val="00F32BC9"/>
    <w:rsid w:val="00F42A9C"/>
    <w:rsid w:val="00F47EB6"/>
    <w:rsid w:val="00F52216"/>
    <w:rsid w:val="00F53FEB"/>
    <w:rsid w:val="00F71D13"/>
    <w:rsid w:val="00F734BC"/>
    <w:rsid w:val="00FA723E"/>
    <w:rsid w:val="00FB1CFB"/>
    <w:rsid w:val="00FB277A"/>
    <w:rsid w:val="00FB336C"/>
    <w:rsid w:val="00FC6C2F"/>
    <w:rsid w:val="00FD2672"/>
    <w:rsid w:val="00FD4369"/>
    <w:rsid w:val="00FD5B4B"/>
    <w:rsid w:val="00FF172D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72F8-AC2B-48D5-BC42-1B1772E0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Оксана Валерьевна</dc:creator>
  <cp:lastModifiedBy>Давыдова Оксана Валерьевна</cp:lastModifiedBy>
  <cp:revision>34</cp:revision>
  <cp:lastPrinted>2015-06-29T15:16:00Z</cp:lastPrinted>
  <dcterms:created xsi:type="dcterms:W3CDTF">2016-07-04T11:27:00Z</dcterms:created>
  <dcterms:modified xsi:type="dcterms:W3CDTF">2017-01-10T11:36:00Z</dcterms:modified>
</cp:coreProperties>
</file>