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DF011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C24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13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AA5531" w:rsidRP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Pr="00EC24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8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FD5C93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7B03F1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8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04851" w:rsidRPr="00904851" w:rsidRDefault="0090485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E2B" w:rsidRDefault="003A0E2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E2B" w:rsidRDefault="003A0E2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E2B" w:rsidRDefault="003A0E2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2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C14" w:rsidRDefault="005A2C1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E1F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E1F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4: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C93" w:rsidRDefault="00FD5C9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1675" w:rsidRDefault="009E167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18" w:rsidRPr="00F35E2C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A16B18" w:rsidRDefault="00A16B1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98D" w:rsidRDefault="00A0098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F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F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15:15</w:t>
            </w: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F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AF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15:25</w:t>
            </w:r>
          </w:p>
          <w:p w:rsidR="00B6581C" w:rsidRDefault="00B6581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2C4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F0114" w:rsidRDefault="00FD5C93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3623D" w:rsidRPr="00882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623D" w:rsidRPr="0053623D">
              <w:rPr>
                <w:sz w:val="28"/>
                <w:szCs w:val="28"/>
              </w:rPr>
              <w:t> </w:t>
            </w:r>
            <w:r w:rsidR="00DF0114" w:rsidRPr="00DF0114">
              <w:rPr>
                <w:rFonts w:ascii="Times New Roman" w:hAnsi="Times New Roman" w:cs="Times New Roman"/>
                <w:sz w:val="28"/>
                <w:szCs w:val="28"/>
              </w:rPr>
              <w:t>Об установлении срока оплаты за перемещение и хранение задержанных транспортных средств на специализированную стоянку в  Республике Татарстан</w:t>
            </w:r>
            <w:r w:rsidR="00DF0114" w:rsidRPr="00DF01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3623D" w:rsidRPr="0053623D" w:rsidRDefault="0053623D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882C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882C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</w:t>
            </w:r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882C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Гайфуллин</w:t>
            </w:r>
            <w:proofErr w:type="spellEnd"/>
          </w:p>
          <w:p w:rsidR="0053623D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FD5C93" w:rsidP="00DE4279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4279" w:rsidRPr="0053623D">
              <w:rPr>
                <w:sz w:val="28"/>
                <w:szCs w:val="28"/>
              </w:rPr>
              <w:t>. </w:t>
            </w:r>
            <w:proofErr w:type="gramStart"/>
            <w:r w:rsidR="00904851" w:rsidRPr="00904851">
              <w:rPr>
                <w:sz w:val="28"/>
                <w:szCs w:val="28"/>
              </w:rPr>
              <w:t xml:space="preserve">О корректировке на 2017 год долгосрочных тарифов  на питьевую воду, техническую воду, водоотведение, очистку сточных вод, транспортировку холодной воды и транспортировку сточных вод, установленных постановлением Государственного комитета Республики Татарстан по тарифам от 30.11.2015 № 10-35/кс «Об установлении тарифов на питьевую воду, техническую воду, водоотведение, очистку сточных вод, транспортировку холодной воды и </w:t>
            </w:r>
            <w:r w:rsidR="00904851">
              <w:rPr>
                <w:sz w:val="28"/>
                <w:szCs w:val="28"/>
              </w:rPr>
              <w:t xml:space="preserve">транспортировку сточных вод на </w:t>
            </w:r>
            <w:r w:rsidR="00904851" w:rsidRPr="00904851">
              <w:rPr>
                <w:sz w:val="28"/>
                <w:szCs w:val="28"/>
              </w:rPr>
              <w:t>2016 - 2018 годы»</w:t>
            </w:r>
            <w:proofErr w:type="gramEnd"/>
          </w:p>
          <w:p w:rsidR="00904851" w:rsidRPr="00267CC7" w:rsidRDefault="00904851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5A2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Менделеевский</w:t>
            </w:r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A2C14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</w:t>
            </w:r>
            <w:r w:rsidRPr="005A2C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048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«Газпром </w:t>
            </w:r>
            <w:proofErr w:type="spellStart"/>
            <w:r w:rsidRPr="00904851">
              <w:rPr>
                <w:rFonts w:ascii="Times New Roman" w:hAnsi="Times New Roman" w:cs="Times New Roman"/>
                <w:i/>
                <w:sz w:val="28"/>
                <w:szCs w:val="28"/>
              </w:rPr>
              <w:t>теплоэнерго</w:t>
            </w:r>
            <w:proofErr w:type="spellEnd"/>
            <w:r w:rsidRPr="009048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Казань»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70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F70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F70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70E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F70E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«ТАНЕКО»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04851" w:rsidRDefault="00904851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E4279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Pr="002C6051" w:rsidRDefault="00FD5C93" w:rsidP="00FB3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279" w:rsidRPr="00FB3EE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A0E2B" w:rsidRPr="003A0E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техническую воду, водоотведение, транспортировку холодной воды и транспортировку сточных вод на 2017 год</w:t>
            </w:r>
          </w:p>
          <w:p w:rsidR="003A0E2B" w:rsidRPr="00267CC7" w:rsidRDefault="003A0E2B" w:rsidP="003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proofErr w:type="gramStart"/>
            <w:r w:rsidRPr="003A0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proofErr w:type="gramEnd"/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ООО</w:t>
            </w:r>
            <w:r w:rsidRPr="003A0E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«Управление по подготовке технологической жидкости для поддержания пластового давления»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proofErr w:type="gramStart"/>
            <w:r w:rsidRPr="003A0E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D772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ООО</w:t>
            </w:r>
            <w:r w:rsidRPr="003A0E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«Водолей-М»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Альметьевского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Бехтеревского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Большееловского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9E1675">
              <w:t xml:space="preserve">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Большекачкинского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Костенеевского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Лекаревского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Мортовского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</w:t>
            </w:r>
            <w:proofErr w:type="gram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Старокуклюкского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Староюрашского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Автономное учреждение 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Яковлевского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 «Центр обслуживания населения»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Тарловка</w:t>
            </w:r>
            <w:proofErr w:type="spellEnd"/>
            <w:r w:rsidR="009E1675" w:rsidRPr="009E1675">
              <w:rPr>
                <w:rFonts w:ascii="Times New Roman" w:hAnsi="Times New Roman" w:cs="Times New Roman"/>
                <w:i/>
                <w:sz w:val="28"/>
                <w:szCs w:val="28"/>
              </w:rPr>
              <w:t>-Сервис»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 w:rsid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9E16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>Нижневязовской</w:t>
            </w:r>
            <w:proofErr w:type="spellEnd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Камско-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Устьинский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 w:rsid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«УЮТ»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«Водоканал»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«Смежная сетевая компания «Интеграция»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; 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«РСК»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, АО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«Главное управление жилищно-коммунального хозяйства»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«Водо-система»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3E7506" w:rsidRPr="003E75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«Управляющая компания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», АО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«Чистополь-Водоканал»</w:t>
            </w:r>
            <w:r w:rsidR="003E7506">
              <w:rPr>
                <w:rFonts w:ascii="Times New Roman" w:hAnsi="Times New Roman" w:cs="Times New Roman"/>
                <w:i/>
                <w:sz w:val="28"/>
                <w:szCs w:val="28"/>
              </w:rPr>
              <w:t>, ООО</w:t>
            </w:r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Чистопольское</w:t>
            </w:r>
            <w:proofErr w:type="spellEnd"/>
            <w:r w:rsidR="003E7506" w:rsidRPr="003E75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сельское жилищно-коммунальное хозяйство»</w:t>
            </w:r>
            <w:r w:rsidRPr="00D772D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E4279" w:rsidRPr="0053623D" w:rsidRDefault="003A0E2B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0E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3A0E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0E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3A0E2B" w:rsidRPr="003A0E2B" w:rsidRDefault="003A0E2B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0E2B" w:rsidRDefault="00FD5C93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226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транспортировку холодной воды и транспортировку сточных вод для Акционерного общества «Главное управление жилищно-коммунального хозяйства</w:t>
            </w:r>
          </w:p>
          <w:p w:rsidR="00DE4279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362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505C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3E7506" w:rsidRDefault="003E7506" w:rsidP="00F7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FD5C93" w:rsidP="00F7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03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питьевую воду, техническую воду и водоотведение для Акционерного общества «Особая экономическая зона промышленно-производственного типа «</w:t>
            </w:r>
            <w:proofErr w:type="spellStart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2017 - 2019 годы</w:t>
            </w:r>
          </w:p>
          <w:p w:rsidR="00DE4279" w:rsidRDefault="00DE4279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4E2B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E6E32" w:rsidRPr="009039F0" w:rsidRDefault="00FE6E32" w:rsidP="00DE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6E32" w:rsidRPr="003A0E2B" w:rsidRDefault="00FD5C93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тарифов на питьевую воду и водоотведение для Общества с ограниченной ответственностью «Водоканал - КП» на 2017 - 2019 годы</w:t>
            </w:r>
          </w:p>
          <w:p w:rsidR="003A0E2B" w:rsidRDefault="003A0E2B" w:rsidP="003A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E4279" w:rsidRDefault="00DE4279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D5C93" w:rsidP="00FE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hAnsi="Times New Roman" w:cs="Times New Roman"/>
                <w:sz w:val="28"/>
                <w:szCs w:val="28"/>
              </w:rPr>
              <w:t>Об установлении тарифов на питьевую воду для Общества с ограниченной ответственностью «</w:t>
            </w:r>
            <w:proofErr w:type="spellStart"/>
            <w:r w:rsidR="003E7506" w:rsidRPr="003E7506">
              <w:rPr>
                <w:rFonts w:ascii="Times New Roman" w:hAnsi="Times New Roman" w:cs="Times New Roman"/>
                <w:sz w:val="28"/>
                <w:szCs w:val="28"/>
              </w:rPr>
              <w:t>Светводканал</w:t>
            </w:r>
            <w:proofErr w:type="spellEnd"/>
            <w:r w:rsidR="003E7506" w:rsidRPr="003E7506">
              <w:rPr>
                <w:rFonts w:ascii="Times New Roman" w:hAnsi="Times New Roman" w:cs="Times New Roman"/>
                <w:sz w:val="28"/>
                <w:szCs w:val="28"/>
              </w:rPr>
              <w:t>» на 2017 - 2019 годы</w:t>
            </w:r>
          </w:p>
          <w:p w:rsidR="003E7506" w:rsidRDefault="003E7506" w:rsidP="003E7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FD5C93" w:rsidP="003E7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техническую воду для Акционерного общества «</w:t>
            </w:r>
            <w:proofErr w:type="spellStart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Прикамье</w:t>
            </w:r>
            <w:proofErr w:type="spellEnd"/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Казанского районного нефтепроводного управления на 2017 - 2019 годы</w:t>
            </w:r>
            <w:r w:rsidR="003E7506" w:rsidRPr="003E7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E7506" w:rsidRDefault="003E7506" w:rsidP="003E7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506" w:rsidRDefault="00FD5C93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E6E32"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на питьевую воду и водоотведение для Общества с ограниченной ответственностью «Коммунальные сети – </w:t>
            </w:r>
            <w:r w:rsidR="003E7506" w:rsidRP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Круглое Поле» на 2017 - 2019 годы </w:t>
            </w:r>
          </w:p>
          <w:p w:rsidR="003E7506" w:rsidRDefault="003E7506" w:rsidP="003E7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тарифов на теплоноситель, поставляемый Обществом с ограниченной ответственностью «</w:t>
            </w:r>
            <w:proofErr w:type="spellStart"/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Энергошинсервис</w:t>
            </w:r>
            <w:proofErr w:type="spellEnd"/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2017 год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E6E32" w:rsidRP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E6E32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E32" w:rsidRDefault="00FE6E32" w:rsidP="00EC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услуги по передаче тепловой энергии, оказываемые Обществом с ограниченной ответственностью «Смежная сетевая компания «Интеграция», на 2017 год</w:t>
            </w:r>
          </w:p>
          <w:p w:rsidR="00FE6E32" w:rsidRDefault="00FE6E32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E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56E25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6E25" w:rsidRDefault="00656E25" w:rsidP="00EC2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услуги по передаче тепловой энергии, оказываемые </w:t>
            </w:r>
            <w:proofErr w:type="spellStart"/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теплосетевыми</w:t>
            </w:r>
            <w:proofErr w:type="spellEnd"/>
            <w:r w:rsidR="00EC2456" w:rsidRPr="00EC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организациями, на 2017-2019 годы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EC24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г. Казань</w:t>
            </w:r>
            <w:r w:rsidRPr="00656E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</w:t>
            </w:r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«РСУ»</w:t>
            </w:r>
            <w:r w:rsid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</w:t>
            </w:r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 </w:t>
            </w:r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Казэнерго</w:t>
            </w:r>
            <w:proofErr w:type="spellEnd"/>
            <w:r w:rsidR="00EC2456" w:rsidRPr="00EC245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656E25" w:rsidRP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656E25" w:rsidRPr="00FE6E32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67C32" w:rsidRDefault="00656E25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5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5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F67C32" w:rsidRPr="00F6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F67C32" w:rsidRPr="00F6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Осиновская</w:t>
            </w:r>
            <w:proofErr w:type="spellEnd"/>
            <w:r w:rsidR="00F67C32" w:rsidRPr="00F6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теплоснабжающая компания» потребителям, установленных постановлением Государственного комитета Республики Татарстан по тарифам от 18.10.2016 № 5-11/тэ «Об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F67C32" w:rsidRPr="00F6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Осиновская</w:t>
            </w:r>
            <w:proofErr w:type="spellEnd"/>
            <w:r w:rsidR="00F67C32" w:rsidRPr="00F67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теплоснабжающая компания» потребителям, на 2016-2018 годы» </w:t>
            </w:r>
            <w:proofErr w:type="gramEnd"/>
          </w:p>
          <w:p w:rsidR="00FE6E32" w:rsidRDefault="00F67C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Осиновская</w:t>
            </w:r>
            <w:proofErr w:type="spellEnd"/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теплоснабжающая компания»)</w:t>
            </w:r>
          </w:p>
          <w:p w:rsidR="00656E25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67C32" w:rsidRDefault="00F67C32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0098D" w:rsidRDefault="000D77B0" w:rsidP="00A00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0098D" w:rsidRP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другим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098D" w:rsidRP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теплоснабжающим организациям, установленных постановлением Государственного комитета Республики Татарстан по тарифам от 27.11.2015 № 5-39/тэ «Об установлении тарифов на тепловую энергию (мощность), поставляемую теплоснабжающими организациями потребителям, другим</w:t>
            </w:r>
            <w:r w:rsid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098D" w:rsidRPr="00A00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теплоснабжающим организациям на 2016-2018 годы»</w:t>
            </w:r>
          </w:p>
          <w:p w:rsidR="000D77B0" w:rsidRDefault="000D77B0" w:rsidP="000D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0D77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Зеленодольское</w:t>
            </w:r>
            <w:proofErr w:type="spellEnd"/>
            <w:r w:rsidRPr="000D77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предприятие тепловых сетей</w:t>
            </w:r>
            <w:r w:rsidRPr="00F67C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0D77B0" w:rsidRDefault="000D77B0" w:rsidP="000D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F67C32" w:rsidRPr="000D77B0" w:rsidRDefault="00F67C32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7B0" w:rsidRPr="000D77B0" w:rsidRDefault="000D77B0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Pr="000D7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0D7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тарифов на тепловую энергию (мощность), </w:t>
            </w:r>
            <w:r w:rsidRPr="000D7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поставляемую теплоснабжающими организациями потребителям, на 2017 год</w:t>
            </w:r>
          </w:p>
          <w:p w:rsidR="00CC4FD0" w:rsidRDefault="005E57D0" w:rsidP="000D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70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70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АО</w:t>
            </w:r>
            <w:r w:rsidRPr="00F70E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5E57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«Главное управление жилищно-коммунального хозяйства»</w:t>
            </w:r>
            <w:r w:rsidRPr="00F70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5E57D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70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70E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C4F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</w:t>
            </w:r>
            <w:r w:rsidR="00CC4FD0" w:rsidRPr="00CC4F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«Республиканское производственное объединение «</w:t>
            </w:r>
            <w:proofErr w:type="spellStart"/>
            <w:r w:rsidR="00CC4FD0" w:rsidRPr="00CC4F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CC4FD0" w:rsidRPr="00CC4F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45088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50887" w:rsidRPr="004508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Высокогорский </w:t>
            </w:r>
            <w:proofErr w:type="spellStart"/>
            <w:r w:rsidR="00450887" w:rsidRPr="004508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450887" w:rsidRPr="0045088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</w:t>
            </w:r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«Главное управление жилищно-коммунального хозяйства»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Менделеевский 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АО</w:t>
            </w:r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«Главное управление жилищно-коммунального хозяйства»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</w:t>
            </w:r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Энергошинсервис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Нурлатский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АО</w:t>
            </w:r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«Главное управление жилищно-коммунального хозяйства»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азань</w:t>
            </w:r>
            <w:proofErr w:type="spellEnd"/>
            <w:r w:rsidR="002C138A" w:rsidRPr="002C13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C138A" w:rsidRP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Акционерное общество «Главное управление жилищно-коммунального хозяйства»</w:t>
            </w:r>
            <w:r w:rsidR="002C13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0D77B0" w:rsidRDefault="000D77B0" w:rsidP="000D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D77B0" w:rsidRPr="000D77B0" w:rsidRDefault="000D77B0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7B0" w:rsidRDefault="00B6581C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Pr="00B6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B6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B6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Pr="00B65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2017 год</w:t>
            </w:r>
          </w:p>
          <w:p w:rsidR="00AF5DAA" w:rsidRDefault="00AF5DAA" w:rsidP="00AF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56E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D77B0" w:rsidRDefault="000D77B0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тарифов на тепловую энергию (мощность), поставляемую Акционерным обществом «Республиканское производственное объединение «</w:t>
            </w:r>
            <w:proofErr w:type="spellStart"/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2017-2019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(г. Казань)</w:t>
            </w:r>
          </w:p>
          <w:p w:rsidR="000D77B0" w:rsidRDefault="000D77B0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DAA" w:rsidRDefault="00AF5DAA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тарифов на тепловую энергию (мощность), поставляемую Акционерным обществом «</w:t>
            </w:r>
            <w:proofErr w:type="spellStart"/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Альметьевские</w:t>
            </w:r>
            <w:proofErr w:type="spellEnd"/>
            <w:r w:rsidRP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тепловые сети» потребителям, другим теплоснабжающим организациям, на 2017-2021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proofErr w:type="gramEnd"/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AF5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AF5DAA" w:rsidRPr="000D77B0" w:rsidRDefault="00AF5DAA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FE6E32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5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E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B44CBB" w:rsidRDefault="008D3FF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FD5C93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56E2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656E25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6B18" w:rsidRDefault="00A16B18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AA" w:rsidRDefault="00AF5DAA" w:rsidP="00551BDB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DAA" w:rsidRDefault="00AF5D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F5DAA" w:rsidSect="00DE4279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D77B0"/>
    <w:rsid w:val="000F5D09"/>
    <w:rsid w:val="00120907"/>
    <w:rsid w:val="001213A4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67CC7"/>
    <w:rsid w:val="0027289E"/>
    <w:rsid w:val="00292088"/>
    <w:rsid w:val="002C0195"/>
    <w:rsid w:val="002C138A"/>
    <w:rsid w:val="002C4BD7"/>
    <w:rsid w:val="002C6051"/>
    <w:rsid w:val="002F18D5"/>
    <w:rsid w:val="002F304F"/>
    <w:rsid w:val="00300946"/>
    <w:rsid w:val="0030125D"/>
    <w:rsid w:val="00306173"/>
    <w:rsid w:val="003159C7"/>
    <w:rsid w:val="0031792C"/>
    <w:rsid w:val="00317F0E"/>
    <w:rsid w:val="0032190C"/>
    <w:rsid w:val="00322221"/>
    <w:rsid w:val="00324DD2"/>
    <w:rsid w:val="00360727"/>
    <w:rsid w:val="00360D05"/>
    <w:rsid w:val="0038440F"/>
    <w:rsid w:val="003A0E2B"/>
    <w:rsid w:val="003A62A6"/>
    <w:rsid w:val="003A645E"/>
    <w:rsid w:val="003B3368"/>
    <w:rsid w:val="003C25F2"/>
    <w:rsid w:val="003C6947"/>
    <w:rsid w:val="003D45AA"/>
    <w:rsid w:val="003E0DA6"/>
    <w:rsid w:val="003E4B9C"/>
    <w:rsid w:val="003E7506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0887"/>
    <w:rsid w:val="00454036"/>
    <w:rsid w:val="004560B6"/>
    <w:rsid w:val="004574A9"/>
    <w:rsid w:val="00462FC5"/>
    <w:rsid w:val="0046532C"/>
    <w:rsid w:val="004804FC"/>
    <w:rsid w:val="004A2DF5"/>
    <w:rsid w:val="004D598B"/>
    <w:rsid w:val="004E08B8"/>
    <w:rsid w:val="004E2B1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2C14"/>
    <w:rsid w:val="005A307F"/>
    <w:rsid w:val="005A347C"/>
    <w:rsid w:val="005D6708"/>
    <w:rsid w:val="005D6BE7"/>
    <w:rsid w:val="005E3754"/>
    <w:rsid w:val="005E4387"/>
    <w:rsid w:val="005E57D0"/>
    <w:rsid w:val="005E657F"/>
    <w:rsid w:val="005E7C55"/>
    <w:rsid w:val="00601470"/>
    <w:rsid w:val="00602EF8"/>
    <w:rsid w:val="00622F31"/>
    <w:rsid w:val="00635D01"/>
    <w:rsid w:val="00642FD2"/>
    <w:rsid w:val="006444F3"/>
    <w:rsid w:val="00656E25"/>
    <w:rsid w:val="00670B18"/>
    <w:rsid w:val="006736DA"/>
    <w:rsid w:val="006A540A"/>
    <w:rsid w:val="006A7E1C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82CFA"/>
    <w:rsid w:val="008906C3"/>
    <w:rsid w:val="008D38D9"/>
    <w:rsid w:val="008D3FF9"/>
    <w:rsid w:val="008D60A9"/>
    <w:rsid w:val="008E0B23"/>
    <w:rsid w:val="008E1CEB"/>
    <w:rsid w:val="008E2D48"/>
    <w:rsid w:val="008F366A"/>
    <w:rsid w:val="008F37F6"/>
    <w:rsid w:val="008F5572"/>
    <w:rsid w:val="008F64FF"/>
    <w:rsid w:val="009039F0"/>
    <w:rsid w:val="00904851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E1675"/>
    <w:rsid w:val="009F0D65"/>
    <w:rsid w:val="009F568D"/>
    <w:rsid w:val="009F740E"/>
    <w:rsid w:val="009F7D99"/>
    <w:rsid w:val="00A0098D"/>
    <w:rsid w:val="00A00FC4"/>
    <w:rsid w:val="00A11793"/>
    <w:rsid w:val="00A14949"/>
    <w:rsid w:val="00A16B18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AF2CAC"/>
    <w:rsid w:val="00AF5DAA"/>
    <w:rsid w:val="00B17463"/>
    <w:rsid w:val="00B26F0A"/>
    <w:rsid w:val="00B34BA9"/>
    <w:rsid w:val="00B44CBB"/>
    <w:rsid w:val="00B6268C"/>
    <w:rsid w:val="00B6581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3DF1"/>
    <w:rsid w:val="00CB43E0"/>
    <w:rsid w:val="00CC4FD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772D6"/>
    <w:rsid w:val="00D80067"/>
    <w:rsid w:val="00DB1E76"/>
    <w:rsid w:val="00DB21B2"/>
    <w:rsid w:val="00DB36B3"/>
    <w:rsid w:val="00DC3058"/>
    <w:rsid w:val="00DC4041"/>
    <w:rsid w:val="00DD77C5"/>
    <w:rsid w:val="00DE4279"/>
    <w:rsid w:val="00DE6011"/>
    <w:rsid w:val="00DF0114"/>
    <w:rsid w:val="00E2037C"/>
    <w:rsid w:val="00E2472F"/>
    <w:rsid w:val="00E27DBB"/>
    <w:rsid w:val="00E413C6"/>
    <w:rsid w:val="00E46012"/>
    <w:rsid w:val="00E56CB1"/>
    <w:rsid w:val="00E635FB"/>
    <w:rsid w:val="00E9381F"/>
    <w:rsid w:val="00EB0898"/>
    <w:rsid w:val="00EB7DAF"/>
    <w:rsid w:val="00EC2456"/>
    <w:rsid w:val="00EC48B8"/>
    <w:rsid w:val="00EE218F"/>
    <w:rsid w:val="00EE46B0"/>
    <w:rsid w:val="00EE569E"/>
    <w:rsid w:val="00EF03E7"/>
    <w:rsid w:val="00F03DA7"/>
    <w:rsid w:val="00F046EB"/>
    <w:rsid w:val="00F13098"/>
    <w:rsid w:val="00F3432E"/>
    <w:rsid w:val="00F34C44"/>
    <w:rsid w:val="00F35E2C"/>
    <w:rsid w:val="00F44536"/>
    <w:rsid w:val="00F45E79"/>
    <w:rsid w:val="00F67C32"/>
    <w:rsid w:val="00F70E1F"/>
    <w:rsid w:val="00F73D2C"/>
    <w:rsid w:val="00F85910"/>
    <w:rsid w:val="00F91FEB"/>
    <w:rsid w:val="00FA73AB"/>
    <w:rsid w:val="00FA7BB8"/>
    <w:rsid w:val="00FB3EE5"/>
    <w:rsid w:val="00FB42B5"/>
    <w:rsid w:val="00FC0488"/>
    <w:rsid w:val="00FC6990"/>
    <w:rsid w:val="00FD33F8"/>
    <w:rsid w:val="00FD5C93"/>
    <w:rsid w:val="00FE1F73"/>
    <w:rsid w:val="00FE6E3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5EF2-D9B5-4A48-8F34-065F8BDA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13</cp:revision>
  <cp:lastPrinted>2016-12-06T06:34:00Z</cp:lastPrinted>
  <dcterms:created xsi:type="dcterms:W3CDTF">2016-12-08T06:45:00Z</dcterms:created>
  <dcterms:modified xsi:type="dcterms:W3CDTF">2016-12-09T13:53:00Z</dcterms:modified>
</cp:coreProperties>
</file>