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F8" w:rsidRPr="005A42D0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A42D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BD4667" w:rsidRPr="005A42D0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Правления Государственного комитета Республики Татарстан по тарифам</w:t>
      </w:r>
    </w:p>
    <w:p w:rsidR="00C94EF8" w:rsidRPr="005A42D0" w:rsidRDefault="00C324EB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3</w:t>
      </w:r>
      <w:r w:rsidR="00333BCD"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C94EF8"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C94EF8" w:rsidRPr="005A42D0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C94EF8" w:rsidRPr="005A42D0" w:rsidTr="00BA7E22">
        <w:tc>
          <w:tcPr>
            <w:tcW w:w="2977" w:type="dxa"/>
          </w:tcPr>
          <w:p w:rsidR="00C94EF8" w:rsidRPr="005A42D0" w:rsidRDefault="005D5F92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A42D0">
              <w:rPr>
                <w:color w:val="000000"/>
                <w:sz w:val="28"/>
                <w:szCs w:val="28"/>
              </w:rPr>
              <w:t>1</w:t>
            </w:r>
            <w:r w:rsidR="00333BCD" w:rsidRPr="005A42D0">
              <w:rPr>
                <w:color w:val="000000"/>
                <w:sz w:val="28"/>
                <w:szCs w:val="28"/>
              </w:rPr>
              <w:t>8</w:t>
            </w:r>
            <w:r w:rsidR="00C94EF8" w:rsidRPr="005A42D0">
              <w:rPr>
                <w:color w:val="000000"/>
                <w:sz w:val="28"/>
                <w:szCs w:val="28"/>
              </w:rPr>
              <w:t xml:space="preserve"> </w:t>
            </w:r>
            <w:r w:rsidR="001F0B6B" w:rsidRPr="005A42D0">
              <w:rPr>
                <w:color w:val="000000"/>
                <w:sz w:val="28"/>
                <w:szCs w:val="28"/>
              </w:rPr>
              <w:t>дека</w:t>
            </w:r>
            <w:r w:rsidR="00C94EF8" w:rsidRPr="005A42D0">
              <w:rPr>
                <w:color w:val="000000"/>
                <w:sz w:val="28"/>
                <w:szCs w:val="28"/>
              </w:rPr>
              <w:t>бря 2025 г.</w:t>
            </w:r>
          </w:p>
          <w:p w:rsidR="00C94EF8" w:rsidRPr="005A42D0" w:rsidRDefault="00784A3D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A42D0">
              <w:rPr>
                <w:color w:val="000000"/>
                <w:sz w:val="28"/>
                <w:szCs w:val="28"/>
              </w:rPr>
              <w:t>14</w:t>
            </w:r>
            <w:r w:rsidR="00C94EF8" w:rsidRPr="005A42D0">
              <w:rPr>
                <w:color w:val="000000"/>
                <w:sz w:val="28"/>
                <w:szCs w:val="28"/>
              </w:rPr>
              <w:t>.00 ч.</w:t>
            </w:r>
          </w:p>
          <w:p w:rsidR="00C94EF8" w:rsidRPr="005A42D0" w:rsidRDefault="00C94EF8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C94EF8" w:rsidRPr="005A42D0" w:rsidRDefault="00C94EF8" w:rsidP="00BA7E2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5A42D0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C94EF8" w:rsidRPr="005A42D0" w:rsidRDefault="00C94EF8" w:rsidP="00BA7E2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5A42D0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C94EF8" w:rsidRPr="005A42D0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94EF8" w:rsidRPr="005A42D0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C539D2"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AB1724"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5A42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310934" w:rsidRPr="005A42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59291C" w:rsidRPr="005A42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5A42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A4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EF361F" w:rsidRPr="005A42D0" w:rsidRDefault="00EF361F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123"/>
        <w:gridCol w:w="308"/>
        <w:gridCol w:w="5504"/>
        <w:gridCol w:w="140"/>
      </w:tblGrid>
      <w:tr w:rsidR="0005091D" w:rsidRPr="005A42D0" w:rsidTr="00E96EDB">
        <w:tc>
          <w:tcPr>
            <w:tcW w:w="10205" w:type="dxa"/>
            <w:gridSpan w:val="5"/>
          </w:tcPr>
          <w:p w:rsidR="0005091D" w:rsidRPr="005A42D0" w:rsidRDefault="0005091D" w:rsidP="00900C99">
            <w:pPr>
              <w:spacing w:after="0" w:line="240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5A42D0">
              <w:rPr>
                <w:rFonts w:eastAsia="Calibri"/>
                <w:b/>
                <w:i/>
                <w:sz w:val="28"/>
                <w:szCs w:val="28"/>
              </w:rPr>
              <w:t xml:space="preserve">В сфере </w:t>
            </w:r>
            <w:r w:rsidR="000128C2" w:rsidRPr="005A42D0">
              <w:rPr>
                <w:rFonts w:eastAsia="Calibri"/>
                <w:b/>
                <w:i/>
                <w:sz w:val="28"/>
                <w:szCs w:val="28"/>
              </w:rPr>
              <w:t>транспортных услуг</w:t>
            </w:r>
          </w:p>
        </w:tc>
      </w:tr>
      <w:tr w:rsidR="00784A3D" w:rsidRPr="005A42D0" w:rsidTr="00E96EDB">
        <w:tc>
          <w:tcPr>
            <w:tcW w:w="10205" w:type="dxa"/>
            <w:gridSpan w:val="5"/>
          </w:tcPr>
          <w:p w:rsidR="00784A3D" w:rsidRPr="005A42D0" w:rsidRDefault="00784A3D" w:rsidP="00784A3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503D9" w:rsidRPr="005A42D0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и сборов на услуги в аэропорту, оказываемые Обществом с ограниченной ответственностью «Аэропорт «Бугульма»,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784A3D" w:rsidRPr="005A42D0" w:rsidTr="00E96EDB">
        <w:tc>
          <w:tcPr>
            <w:tcW w:w="4130" w:type="dxa"/>
          </w:tcPr>
          <w:p w:rsidR="00784A3D" w:rsidRPr="005A42D0" w:rsidRDefault="0005091D" w:rsidP="00784A3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784A3D" w:rsidRPr="005A42D0" w:rsidRDefault="00784A3D" w:rsidP="00784A3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784A3D" w:rsidRPr="005A42D0" w:rsidRDefault="00784A3D" w:rsidP="00784A3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 w:rsidR="0005091D" w:rsidRPr="005A42D0"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5A42D0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784A3D" w:rsidRPr="005A42D0" w:rsidRDefault="00784A3D" w:rsidP="00784A3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84A3D" w:rsidRPr="005A42D0" w:rsidTr="00E96EDB">
        <w:tc>
          <w:tcPr>
            <w:tcW w:w="10205" w:type="dxa"/>
            <w:gridSpan w:val="5"/>
          </w:tcPr>
          <w:p w:rsidR="00784A3D" w:rsidRPr="005A42D0" w:rsidRDefault="00784A3D" w:rsidP="00784A3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503D9" w:rsidRPr="005A42D0">
              <w:rPr>
                <w:b/>
                <w:sz w:val="28"/>
                <w:szCs w:val="28"/>
              </w:rPr>
              <w:t>Об установлении экономически обоснованного уровня тарифа, тарифов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4"/>
              <w:gridCol w:w="6195"/>
            </w:tblGrid>
            <w:tr w:rsidR="0005091D" w:rsidRPr="005A42D0" w:rsidTr="0005091D">
              <w:tc>
                <w:tcPr>
                  <w:tcW w:w="3865" w:type="dxa"/>
                </w:tcPr>
                <w:p w:rsidR="0005091D" w:rsidRPr="005A42D0" w:rsidRDefault="0005091D" w:rsidP="0005091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5A42D0">
                    <w:rPr>
                      <w:i/>
                      <w:color w:val="000000"/>
                      <w:sz w:val="28"/>
                      <w:szCs w:val="28"/>
                    </w:rPr>
                    <w:t>Чуйко Игорь Дмитриевич</w:t>
                  </w:r>
                </w:p>
                <w:p w:rsidR="0005091D" w:rsidRPr="005A42D0" w:rsidRDefault="0005091D" w:rsidP="0005091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A42D0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05091D" w:rsidRPr="005A42D0" w:rsidRDefault="0005091D" w:rsidP="0005091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непромышленной сферы </w:t>
                  </w:r>
                </w:p>
                <w:p w:rsidR="0005091D" w:rsidRPr="005A42D0" w:rsidRDefault="0005091D" w:rsidP="0005091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84A3D" w:rsidRPr="005A42D0" w:rsidRDefault="00784A3D" w:rsidP="00784A3D">
            <w:pPr>
              <w:pStyle w:val="ae"/>
              <w:spacing w:after="0" w:line="240" w:lineRule="auto"/>
              <w:ind w:left="71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84A3D" w:rsidRPr="005A42D0" w:rsidTr="00E96EDB">
        <w:tc>
          <w:tcPr>
            <w:tcW w:w="10205" w:type="dxa"/>
            <w:gridSpan w:val="5"/>
          </w:tcPr>
          <w:p w:rsidR="00784A3D" w:rsidRPr="005A42D0" w:rsidRDefault="00784A3D" w:rsidP="00784A3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503D9" w:rsidRPr="005A42D0">
              <w:rPr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Бугульма» Бугульминского муниципального района Республики Татарстан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5091D" w:rsidRPr="005A42D0" w:rsidTr="00E96EDB">
        <w:tc>
          <w:tcPr>
            <w:tcW w:w="4130" w:type="dxa"/>
          </w:tcPr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84A3D" w:rsidRPr="005A42D0" w:rsidTr="00E96EDB">
        <w:tc>
          <w:tcPr>
            <w:tcW w:w="10205" w:type="dxa"/>
            <w:gridSpan w:val="5"/>
          </w:tcPr>
          <w:p w:rsidR="00784A3D" w:rsidRPr="005A42D0" w:rsidRDefault="00784A3D" w:rsidP="00784A3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503D9" w:rsidRPr="005A42D0">
              <w:rPr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Зеленодольск» Зеленодольского муниципального района Республики Татарстан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5091D" w:rsidRPr="005A42D0" w:rsidTr="00E96EDB">
        <w:tc>
          <w:tcPr>
            <w:tcW w:w="4130" w:type="dxa"/>
          </w:tcPr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05091D" w:rsidRPr="005A42D0" w:rsidRDefault="0005091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0128C2" w:rsidRPr="005A42D0" w:rsidTr="00E96EDB">
        <w:tc>
          <w:tcPr>
            <w:tcW w:w="4130" w:type="dxa"/>
          </w:tcPr>
          <w:p w:rsidR="000128C2" w:rsidRPr="005A42D0" w:rsidRDefault="000128C2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5A42D0">
              <w:rPr>
                <w:b/>
                <w:i/>
                <w:color w:val="000000"/>
                <w:sz w:val="28"/>
                <w:szCs w:val="28"/>
              </w:rPr>
              <w:t>В сфере обращения с ТКО</w:t>
            </w:r>
          </w:p>
        </w:tc>
        <w:tc>
          <w:tcPr>
            <w:tcW w:w="6075" w:type="dxa"/>
            <w:gridSpan w:val="4"/>
          </w:tcPr>
          <w:p w:rsidR="000128C2" w:rsidRPr="005A42D0" w:rsidRDefault="000128C2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F438D" w:rsidRPr="005A42D0" w:rsidTr="003A40E1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4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Об установлении предельных тарифов на захоронение твердых коммунальных отходов и утверждении производственной программы </w:t>
            </w:r>
            <w:r w:rsidRPr="005A42D0">
              <w:rPr>
                <w:b/>
                <w:sz w:val="28"/>
                <w:szCs w:val="28"/>
              </w:rPr>
              <w:lastRenderedPageBreak/>
              <w:t>для Общества с ограниченной ответственностью «</w:t>
            </w:r>
            <w:proofErr w:type="spellStart"/>
            <w:r w:rsidRPr="005A42D0">
              <w:rPr>
                <w:b/>
                <w:sz w:val="28"/>
                <w:szCs w:val="28"/>
              </w:rPr>
              <w:t>Комунсервис</w:t>
            </w:r>
            <w:proofErr w:type="spellEnd"/>
            <w:r w:rsidRPr="005A42D0">
              <w:rPr>
                <w:b/>
                <w:sz w:val="28"/>
                <w:szCs w:val="28"/>
              </w:rPr>
              <w:t>» Нижнекамского муниципального района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4"/>
              <w:gridCol w:w="6195"/>
            </w:tblGrid>
            <w:tr w:rsidR="009F438D" w:rsidRPr="005A42D0" w:rsidTr="00996C43">
              <w:tc>
                <w:tcPr>
                  <w:tcW w:w="3865" w:type="dxa"/>
                </w:tcPr>
                <w:p w:rsidR="009F438D" w:rsidRPr="005A42D0" w:rsidRDefault="009F438D" w:rsidP="009F438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5A42D0">
                    <w:rPr>
                      <w:i/>
                      <w:color w:val="000000"/>
                      <w:sz w:val="28"/>
                      <w:szCs w:val="28"/>
                    </w:rPr>
                    <w:t>Чуйко Игорь Дмитриевич</w:t>
                  </w:r>
                </w:p>
                <w:p w:rsidR="009F438D" w:rsidRPr="005A42D0" w:rsidRDefault="009F438D" w:rsidP="009F438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A42D0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9F438D" w:rsidRPr="005A42D0" w:rsidRDefault="009F438D" w:rsidP="009F438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непромышленной сферы </w:t>
                  </w:r>
                </w:p>
                <w:p w:rsidR="009F438D" w:rsidRPr="005A42D0" w:rsidRDefault="009F438D" w:rsidP="009F438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F438D" w:rsidRPr="005A42D0" w:rsidRDefault="009F438D" w:rsidP="0005091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F438D" w:rsidRPr="005A42D0" w:rsidTr="00996C43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4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предельных тарифов на обработку твердых коммунальных отходов и утверждении производственной программы для Общества с ограниченной ответственностью «</w:t>
            </w:r>
            <w:proofErr w:type="spellStart"/>
            <w:r w:rsidRPr="005A42D0">
              <w:rPr>
                <w:b/>
                <w:sz w:val="28"/>
                <w:szCs w:val="28"/>
              </w:rPr>
              <w:t>КомунСервис</w:t>
            </w:r>
            <w:proofErr w:type="spellEnd"/>
            <w:r w:rsidRPr="005A42D0">
              <w:rPr>
                <w:b/>
                <w:sz w:val="28"/>
                <w:szCs w:val="28"/>
              </w:rPr>
              <w:t>» муниципального образования «город Набережные Челны»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F438D" w:rsidRPr="005A42D0" w:rsidTr="00996C43">
        <w:tc>
          <w:tcPr>
            <w:tcW w:w="4130" w:type="dxa"/>
          </w:tcPr>
          <w:p w:rsidR="009F438D" w:rsidRPr="005A42D0" w:rsidRDefault="009F438D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F438D" w:rsidRPr="005A42D0" w:rsidRDefault="009F438D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9F438D" w:rsidRPr="005A42D0" w:rsidRDefault="009F438D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9F438D" w:rsidRPr="005A42D0" w:rsidRDefault="009F438D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0128C2" w:rsidRPr="005A42D0" w:rsidTr="006C6EAB">
        <w:tc>
          <w:tcPr>
            <w:tcW w:w="10205" w:type="dxa"/>
            <w:gridSpan w:val="5"/>
          </w:tcPr>
          <w:p w:rsidR="000128C2" w:rsidRPr="005A42D0" w:rsidRDefault="000128C2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5A42D0">
              <w:rPr>
                <w:b/>
                <w:i/>
                <w:color w:val="000000"/>
                <w:sz w:val="28"/>
                <w:szCs w:val="28"/>
              </w:rPr>
              <w:t>В сфере водоснабжения и водоотведения</w:t>
            </w:r>
          </w:p>
        </w:tc>
      </w:tr>
      <w:tr w:rsidR="009F438D" w:rsidRPr="005A42D0" w:rsidTr="00ED7D7C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21A36" w:rsidRPr="005A42D0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Акционерного общества «Республиканское производственное объединение «</w:t>
            </w:r>
            <w:proofErr w:type="spellStart"/>
            <w:r w:rsidR="00121A36" w:rsidRPr="005A42D0">
              <w:rPr>
                <w:rFonts w:eastAsia="Calibri"/>
                <w:b/>
                <w:sz w:val="28"/>
                <w:szCs w:val="28"/>
              </w:rPr>
              <w:t>Таткоммунэнерго</w:t>
            </w:r>
            <w:proofErr w:type="spellEnd"/>
            <w:r w:rsidR="00121A36" w:rsidRPr="005A42D0">
              <w:rPr>
                <w:rFonts w:eastAsia="Calibri"/>
                <w:b/>
                <w:sz w:val="28"/>
                <w:szCs w:val="28"/>
              </w:rPr>
              <w:t>», оказывающего услугу для потребителей Арского муниципального района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F438D" w:rsidRPr="005A42D0" w:rsidTr="00E96EDB">
        <w:tc>
          <w:tcPr>
            <w:tcW w:w="4130" w:type="dxa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9F438D" w:rsidRPr="005A42D0" w:rsidTr="00D72093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21A36" w:rsidRPr="005A42D0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питьевую воду, водоотведение и утверждении производственных программ для Государственного унитарного предприятия Республики Татарстан «Электрические сети» </w:t>
            </w:r>
            <w:proofErr w:type="spellStart"/>
            <w:r w:rsidR="00121A36" w:rsidRPr="005A42D0">
              <w:rPr>
                <w:rFonts w:eastAsia="Calibri"/>
                <w:b/>
                <w:sz w:val="28"/>
                <w:szCs w:val="28"/>
              </w:rPr>
              <w:t>Заинского</w:t>
            </w:r>
            <w:proofErr w:type="spellEnd"/>
            <w:r w:rsidR="00121A36" w:rsidRPr="005A42D0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F438D" w:rsidRPr="005A42D0" w:rsidTr="00E96EDB">
        <w:tc>
          <w:tcPr>
            <w:tcW w:w="4130" w:type="dxa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9F438D" w:rsidRPr="005A42D0" w:rsidTr="004B3AD8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21A36" w:rsidRPr="005A42D0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производственных программ на питьевую воду, водоотведение, транспортировку сточных вод для Общества с ограниченной ответственностью «РСК», установленных постановлением Государственного комитета Республики Татарстан по тарифам от18.12.2024 № 609-163/кс-2024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F438D" w:rsidRPr="005A42D0" w:rsidTr="00E96EDB">
        <w:tc>
          <w:tcPr>
            <w:tcW w:w="4130" w:type="dxa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9F438D" w:rsidRPr="005A42D0" w:rsidTr="00804107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21A36" w:rsidRPr="005A42D0">
              <w:rPr>
                <w:rFonts w:eastAsia="Calibri"/>
                <w:b/>
                <w:sz w:val="28"/>
                <w:szCs w:val="28"/>
              </w:rPr>
              <w:t xml:space="preserve">О корректировке на 2026 год долгосрочных тарифов и производственных программ на питьевую воду, техническую воду, водоотведение для Общества с ограниченной ответственностью «ЧЕЛНЫВОДОКАНАЛ» муниципального образования «город Набережные </w:t>
            </w:r>
            <w:r w:rsidR="00121A36" w:rsidRPr="005A42D0">
              <w:rPr>
                <w:rFonts w:eastAsia="Calibri"/>
                <w:b/>
                <w:sz w:val="28"/>
                <w:szCs w:val="28"/>
              </w:rPr>
              <w:lastRenderedPageBreak/>
              <w:t>Челны», установленных постановлением Государственного комитета Республики Татарстан по тарифам от 18.12.2024 № 605-159/кс-2024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  <w:bookmarkStart w:id="0" w:name="_GoBack"/>
        <w:bookmarkEnd w:id="0"/>
      </w:tr>
      <w:tr w:rsidR="009F438D" w:rsidRPr="005A42D0" w:rsidTr="00E96EDB">
        <w:tc>
          <w:tcPr>
            <w:tcW w:w="4130" w:type="dxa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9F438D" w:rsidRPr="005A42D0" w:rsidTr="00705B5E">
        <w:tc>
          <w:tcPr>
            <w:tcW w:w="10205" w:type="dxa"/>
            <w:gridSpan w:val="5"/>
          </w:tcPr>
          <w:p w:rsidR="009F438D" w:rsidRPr="005A42D0" w:rsidRDefault="009F438D" w:rsidP="009F438D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21A36" w:rsidRPr="005A42D0">
              <w:rPr>
                <w:rFonts w:eastAsia="Calibri"/>
                <w:b/>
                <w:sz w:val="28"/>
                <w:szCs w:val="28"/>
              </w:rPr>
              <w:t>Об установлении тарифов на техническую воду, водоотведение и утверждении производственных программ для Общества с ограниченной ответственностью «ЧЕЛНЫВОДОКАНАЛ» муниципального образования «город Набережные Челны» на 2026 – 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F438D" w:rsidRPr="005A42D0" w:rsidTr="00E96EDB">
        <w:tc>
          <w:tcPr>
            <w:tcW w:w="4130" w:type="dxa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9F438D" w:rsidRPr="005A42D0" w:rsidRDefault="009F438D" w:rsidP="009F438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0C5240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корректировке на 2026 год долгосрочных тарифов и производственных программ на питьевую воду, водоотведение для Акционерного общества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13.12.2023 № 547-43/кс-2023».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381D65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корректировке на 2026 год долгосрочных тарифов и производственной программы на питьевую воду для Акционерного общества «Станция очистки воды - Нижнекамскнефтехим», установленных постановлением Государственного комитета Республики Татарстан по тарифам от 13.12.2023 № 549-45/кс-2023».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E155E7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корректировке на 2026 год долгосрочных тарифов и производственных программ на питьевую воду, техническую воду и очистку сточных вод для Публичного акционерного общества «Нижнекамскнефтехим», установленных постановлением Государственного комитета Республики Татарстан по тарифам от 13.12.2023 № 550-46/кс-2023».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2F5AAC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 корректировке на 2026 год долгосрочных тарифов и производственных программ на техническую воду (химически очищенную), очистку сточных вод (механическую) для Публичного акционерного общества </w:t>
            </w:r>
            <w:r w:rsidRPr="005A42D0">
              <w:rPr>
                <w:rFonts w:eastAsia="Calibri"/>
                <w:b/>
                <w:sz w:val="28"/>
                <w:szCs w:val="28"/>
              </w:rPr>
              <w:lastRenderedPageBreak/>
              <w:t>«Нижнекамскнефтехим», установленных постановлением Государственного комитета Республики Татарстан по тарифам от 01.12.2021 № 415-103/кс-2021».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E54D1C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корректировке на 2026 год долгосрочных тарифов и производственной программы на водоотведение (производственные сточные воды) для Публичного акционерного общества «Нижнекамскнефтехим», установленных постановлением Государственного комитета Республики Татарстан по тарифам от 17.12.2024 № 536-120/кс-2024».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D40D7A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тарифов на питьевую воду, водоотведение и утверждении производственных программ для Государственного унитарного предприятия Республики Татарстан «Электрические сети» Пестречинского муниципального района на 2026 – 2028 годы».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E169FA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      </w:r>
            <w:proofErr w:type="spellStart"/>
            <w:r w:rsidRPr="005A42D0">
              <w:rPr>
                <w:rFonts w:eastAsia="Calibri"/>
                <w:b/>
                <w:sz w:val="28"/>
                <w:szCs w:val="28"/>
              </w:rPr>
              <w:t>Ресурсоснабжающая</w:t>
            </w:r>
            <w:proofErr w:type="spellEnd"/>
            <w:r w:rsidRPr="005A42D0">
              <w:rPr>
                <w:rFonts w:eastAsia="Calibri"/>
                <w:b/>
                <w:sz w:val="28"/>
                <w:szCs w:val="28"/>
              </w:rPr>
              <w:t xml:space="preserve"> организация «ЭКО» </w:t>
            </w:r>
            <w:proofErr w:type="spellStart"/>
            <w:r w:rsidRPr="005A42D0">
              <w:rPr>
                <w:rFonts w:eastAsia="Calibri"/>
                <w:b/>
                <w:sz w:val="28"/>
                <w:szCs w:val="28"/>
              </w:rPr>
              <w:t>Пестречинского</w:t>
            </w:r>
            <w:proofErr w:type="spellEnd"/>
            <w:r w:rsidRPr="005A42D0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– 2030 годы».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287433">
        <w:tc>
          <w:tcPr>
            <w:tcW w:w="10205" w:type="dxa"/>
            <w:gridSpan w:val="5"/>
          </w:tcPr>
          <w:p w:rsidR="00121A36" w:rsidRPr="005A42D0" w:rsidRDefault="00121A36" w:rsidP="00121A36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«Об установлении тарифов на техническую воду и утверждении производственной программы для Общества с ограниченной ответственностью «Смежная сетевая компания «Интеграция» </w:t>
            </w:r>
            <w:proofErr w:type="spellStart"/>
            <w:r w:rsidRPr="005A42D0">
              <w:rPr>
                <w:rFonts w:eastAsia="Calibri"/>
                <w:b/>
                <w:sz w:val="28"/>
                <w:szCs w:val="28"/>
              </w:rPr>
              <w:t>г.Казани</w:t>
            </w:r>
            <w:proofErr w:type="spellEnd"/>
            <w:r w:rsidRPr="005A42D0">
              <w:rPr>
                <w:rFonts w:eastAsia="Calibri"/>
                <w:b/>
                <w:sz w:val="28"/>
                <w:szCs w:val="28"/>
              </w:rPr>
              <w:t xml:space="preserve"> на 2026 – 2030 годы».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8B0AA0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4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86121" w:rsidRPr="005A42D0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питьевую воду, водоотведение и утверждении производственных программ для Общества с </w:t>
            </w:r>
            <w:r w:rsidR="00486121" w:rsidRPr="005A42D0">
              <w:rPr>
                <w:rFonts w:eastAsia="Calibri"/>
                <w:b/>
                <w:sz w:val="28"/>
                <w:szCs w:val="28"/>
              </w:rPr>
              <w:lastRenderedPageBreak/>
              <w:t>ограниченной ответственностью «Водоканал Арского муниципального района» Арского муниципального района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8537F7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корректировке на 2026 год долгосрочных тарифов и производственных программ на транспортировку холодной воды, транспортировку сточных вод для Общества с ограниченной ответственностью «РСК», установленных постановлением Государственного комитета Республики Татарстан по тарифам от19.12.2024 № 675-169/кс-2024».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2F4C95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тарифов на транспортировку холодной воды, транспортировку сточных вод и утверждении производственных программ для Общества с ограниченной ответственностью «Водопроводные и канализационные системы» на 2026 год».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121A36">
            <w:pPr>
              <w:spacing w:after="0" w:line="240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5A42D0">
              <w:rPr>
                <w:rFonts w:eastAsia="Calibri"/>
                <w:b/>
                <w:i/>
                <w:sz w:val="28"/>
                <w:szCs w:val="28"/>
              </w:rPr>
              <w:t>В сфере теплоснабжения</w:t>
            </w: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</w:t>
            </w:r>
            <w:proofErr w:type="spellStart"/>
            <w:r w:rsidRPr="005A42D0">
              <w:rPr>
                <w:b/>
                <w:sz w:val="28"/>
                <w:szCs w:val="28"/>
              </w:rPr>
              <w:t>г.Нижнекамска</w:t>
            </w:r>
            <w:proofErr w:type="spellEnd"/>
            <w:r w:rsidRPr="005A42D0">
              <w:rPr>
                <w:b/>
                <w:sz w:val="28"/>
                <w:szCs w:val="28"/>
              </w:rPr>
              <w:t>, оказываемые Акционерным обществом «ТГК-16»,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pacing w:val="-2"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тарифов на тепловую энергию (мощность), поставляемую Акционерным обществом «ТГК-16» потребителям, другим теплоснабжающим организациям в Зеленодольском муниципальном районе, установленных постановлением Государственного комитета Республики Татарстан по тарифам от 19.12.2024 № 661-107/тэ-2024</w:t>
            </w:r>
            <w:r w:rsidRPr="005A42D0">
              <w:rPr>
                <w:rFonts w:eastAsia="Calibri"/>
                <w:b/>
                <w:spacing w:val="-2"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 корректировке на 2026 год тарифов на тепловую энергию, поставляемую Акционерным обществом «ТГК-16» потребителям, другим теплоснабжающим организациям г. Казани, установленных </w:t>
            </w:r>
            <w:r w:rsidRPr="005A42D0">
              <w:rPr>
                <w:b/>
                <w:sz w:val="28"/>
                <w:szCs w:val="28"/>
              </w:rPr>
              <w:lastRenderedPageBreak/>
              <w:t>постановлением Государственного комитета Республики Татарстан по тарифам от 14.12.2023 № 660-89/тэ-2023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Казанская ТЭЦ-3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664-93/тэ-2023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Нижнекамская ТЭЦ (ПТК-1)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666-95/тэ-2023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поставляемую Акционерным обществом «ТГК-16» теплосетевым организациям, приобретающим тепловую энергию с целью компенсации потерь тепловой энергии в г. Казани, установленных постановлением Государственного комитета Республики Татарстан по тарифам от 14.12.2023 № 662-91/тэ-2023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на тепловую энергию (мощность), поставляемую Акционерным обществом «ТГК-16» теплосетевым организациям, приобретающим тепловую энергию с целью компенсации потерь тепловой энергии в Зеленодольском муниципальном районе, установленных постановлением Государственного комитета Республики Татарстан по тарифам от 19.12.2024 № 663-109/тэ-2024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Публичным акционерным обществом «Нижнекамскнефтехим» Нижнекамского муниципального района потребителям, другим теплоснабжающим организациям,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теплоноситель, поставляемый Публичным акционерным обществом «Нижнекамскнефтехим» Нижнекамского муниципального района потребителям,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Казанским публичным акционерным обществом «Органический синтез» г. Казани потребителям, другим теплоснабжающим организациям, на 2026-2028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теплоноситель, поставляемый Казанским публичным акционерным обществом «Органический синтез» г. Казани потребителям, другим теплоснабжающим организациям, на 2026-2028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</w:t>
            </w:r>
            <w:proofErr w:type="spellStart"/>
            <w:r w:rsidRPr="005A42D0">
              <w:rPr>
                <w:b/>
                <w:sz w:val="28"/>
                <w:szCs w:val="28"/>
              </w:rPr>
              <w:t>г.Казани</w:t>
            </w:r>
            <w:proofErr w:type="spellEnd"/>
            <w:r w:rsidRPr="005A42D0">
              <w:rPr>
                <w:b/>
                <w:sz w:val="28"/>
                <w:szCs w:val="28"/>
              </w:rPr>
              <w:t>, оказываемые Акционерным обществом «Татэнерго»,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 корректировке на 2026 год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-Казанская ТЭЦ-1, Казанская ТЭЦ-2 г. </w:t>
            </w:r>
            <w:r w:rsidRPr="005A42D0">
              <w:rPr>
                <w:b/>
                <w:sz w:val="28"/>
                <w:szCs w:val="28"/>
              </w:rPr>
              <w:lastRenderedPageBreak/>
              <w:t>Казани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 от 12.11.2025 № 264-20/тэ-2025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      </w:r>
            <w:proofErr w:type="spellStart"/>
            <w:r w:rsidRPr="005A42D0">
              <w:rPr>
                <w:b/>
                <w:sz w:val="28"/>
                <w:szCs w:val="28"/>
              </w:rPr>
              <w:t>Набережночелнинская</w:t>
            </w:r>
            <w:proofErr w:type="spellEnd"/>
            <w:r w:rsidRPr="005A42D0">
              <w:rPr>
                <w:b/>
                <w:sz w:val="28"/>
                <w:szCs w:val="28"/>
              </w:rPr>
              <w:t xml:space="preserve"> ТЭЦ   г.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энергии,  установленных постановлением Государственного комитета Республики Татарстан по тарифам от 12.11.2025 № 265-21/тэ-2025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</w:t>
            </w:r>
            <w:proofErr w:type="spellStart"/>
            <w:r w:rsidRPr="005A42D0">
              <w:rPr>
                <w:b/>
                <w:sz w:val="28"/>
                <w:szCs w:val="28"/>
              </w:rPr>
              <w:t>Заинская</w:t>
            </w:r>
            <w:proofErr w:type="spellEnd"/>
            <w:r w:rsidRPr="005A42D0">
              <w:rPr>
                <w:b/>
                <w:sz w:val="28"/>
                <w:szCs w:val="28"/>
              </w:rPr>
              <w:t xml:space="preserve"> ГРЭС </w:t>
            </w:r>
            <w:proofErr w:type="spellStart"/>
            <w:r w:rsidRPr="005A42D0">
              <w:rPr>
                <w:b/>
                <w:sz w:val="28"/>
                <w:szCs w:val="28"/>
              </w:rPr>
              <w:t>Заинского</w:t>
            </w:r>
            <w:proofErr w:type="spellEnd"/>
            <w:r w:rsidRPr="005A42D0">
              <w:rPr>
                <w:b/>
                <w:sz w:val="28"/>
                <w:szCs w:val="28"/>
              </w:rPr>
              <w:t xml:space="preserve">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12.11.2025 № 266-22/тэ-2025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поставляемую Акционерным обществом «Татэнерго» теплосетевым организациям, приобретающим тепловую энергию с целью компенсации потерь тепловой энергии в г. Казани, установленных постановлением Государственного комитета Республики Татарстан по тарифам от 15.12.2023 № 740-96/тэ-2023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тепловую энергию, поставляемую Акционерным обществом «Татэнерго» теплосетевым организациям, приобретающим тепловую энергию с целью компенсации потерь тепловой энергии в г. Набережные Челны,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тепловую энергию, поставляемую Акционерным обществом «Татэнерго» теплосетевым организациям, приобретающим тепловую энергию с целью компенсации потерь тепловой энергии в г. Заинск,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</w:t>
            </w:r>
            <w:proofErr w:type="spellStart"/>
            <w:r w:rsidRPr="005A42D0">
              <w:rPr>
                <w:b/>
                <w:sz w:val="28"/>
                <w:szCs w:val="28"/>
              </w:rPr>
              <w:t>г.Казани</w:t>
            </w:r>
            <w:proofErr w:type="spellEnd"/>
            <w:r w:rsidRPr="005A42D0">
              <w:rPr>
                <w:b/>
                <w:sz w:val="28"/>
                <w:szCs w:val="28"/>
              </w:rPr>
              <w:t>, установленных постановлением Государственного комитета Республики Татарстан по тарифам от 12.11.2025 № 267-23/тэ-2025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г. Набережные Челны, установленных постановлением Государственного комитета Республики Татарстан по тарифам от 12.11.2025 № 268-24/тэ-2025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</w:t>
            </w:r>
            <w:proofErr w:type="spellStart"/>
            <w:r w:rsidRPr="005A42D0">
              <w:rPr>
                <w:b/>
                <w:sz w:val="28"/>
                <w:szCs w:val="28"/>
              </w:rPr>
              <w:t>г.Заинска</w:t>
            </w:r>
            <w:proofErr w:type="spellEnd"/>
            <w:r w:rsidRPr="005A42D0">
              <w:rPr>
                <w:b/>
                <w:sz w:val="28"/>
                <w:szCs w:val="28"/>
              </w:rPr>
              <w:t>, установленных постановлением Государственного комитета Республики Татарстан по тарифам от 12.11.2025 № 269-25/тэ-2025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E96EDB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B83DA6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установленных постановлением Государственного комитета Республики Татарстан по тарифам от 12.11.2025 № 27</w:t>
            </w:r>
            <w:r w:rsidR="00A12E04" w:rsidRPr="005A42D0">
              <w:rPr>
                <w:b/>
                <w:sz w:val="28"/>
                <w:szCs w:val="28"/>
              </w:rPr>
              <w:t>0</w:t>
            </w:r>
            <w:r w:rsidRPr="005A42D0">
              <w:rPr>
                <w:b/>
                <w:sz w:val="28"/>
                <w:szCs w:val="28"/>
              </w:rPr>
              <w:t>-</w:t>
            </w:r>
            <w:r w:rsidR="00A12E04" w:rsidRPr="005A42D0">
              <w:rPr>
                <w:b/>
                <w:sz w:val="28"/>
                <w:szCs w:val="28"/>
              </w:rPr>
              <w:t>26</w:t>
            </w:r>
            <w:r w:rsidRPr="005A42D0">
              <w:rPr>
                <w:b/>
                <w:sz w:val="28"/>
                <w:szCs w:val="28"/>
              </w:rPr>
              <w:t>/тэ-2025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B83DA6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B83DA6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услуги по передаче тепловой энергии, оказываемые Обществом с ограниченной ответственностью «Смежная сетевая компания «Интеграция»,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B83DA6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B83DA6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год тарифов на тепловую энергию (мощность), поставляемую Акционерным обществом «Казэнерго» потребителям, другим теплоснабжающим организациям, установленных постановлением Государственного комитета Республики Татарстан по тарифам от 14.12.2023 № 650-79/тэ-2023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B83DA6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CD66EF">
        <w:tc>
          <w:tcPr>
            <w:tcW w:w="10205" w:type="dxa"/>
            <w:gridSpan w:val="5"/>
          </w:tcPr>
          <w:p w:rsidR="00121A36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4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667-96/тэ-2023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121A36" w:rsidRPr="005A42D0" w:rsidTr="00B83DA6">
        <w:tc>
          <w:tcPr>
            <w:tcW w:w="4130" w:type="dxa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075" w:type="dxa"/>
            <w:gridSpan w:val="4"/>
          </w:tcPr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121A36" w:rsidRPr="005A42D0" w:rsidRDefault="00121A36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B1724" w:rsidRPr="005A42D0" w:rsidTr="00996C43">
        <w:tc>
          <w:tcPr>
            <w:tcW w:w="10205" w:type="dxa"/>
            <w:gridSpan w:val="5"/>
          </w:tcPr>
          <w:p w:rsidR="00AB1724" w:rsidRPr="005A42D0" w:rsidRDefault="00AB1724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88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pacing w:val="-2"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корректировке на 2026 тарифов на тепловую энергию (мощность), поставляемую Обществом с ограниченной ответственностью «Нижнекамская ТЭЦ» Нижнекамского муниципального района потребителю Обществу с ограниченной ответственностью «</w:t>
            </w:r>
            <w:proofErr w:type="spellStart"/>
            <w:r w:rsidRPr="005A42D0">
              <w:rPr>
                <w:b/>
                <w:sz w:val="28"/>
                <w:szCs w:val="28"/>
              </w:rPr>
              <w:t>Энергошинсервис</w:t>
            </w:r>
            <w:proofErr w:type="spellEnd"/>
            <w:r w:rsidRPr="005A42D0">
              <w:rPr>
                <w:b/>
                <w:sz w:val="28"/>
                <w:szCs w:val="28"/>
              </w:rPr>
              <w:t>», установленных постановлением Государственного комитета Республики Татарстан по тарифам от 17.12.2024 № 570-87/тэ-2024</w:t>
            </w:r>
            <w:r w:rsidRPr="005A42D0">
              <w:rPr>
                <w:rFonts w:eastAsia="Calibri"/>
                <w:b/>
                <w:spacing w:val="-2"/>
                <w:sz w:val="28"/>
                <w:szCs w:val="28"/>
              </w:rPr>
              <w:t>».</w:t>
            </w:r>
          </w:p>
        </w:tc>
      </w:tr>
      <w:tr w:rsidR="00AB1724" w:rsidRPr="005A42D0" w:rsidTr="00AB1724">
        <w:tc>
          <w:tcPr>
            <w:tcW w:w="4561" w:type="dxa"/>
            <w:gridSpan w:val="3"/>
          </w:tcPr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644" w:type="dxa"/>
            <w:gridSpan w:val="2"/>
          </w:tcPr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B1724" w:rsidRPr="005A42D0" w:rsidTr="00996C43">
        <w:tc>
          <w:tcPr>
            <w:tcW w:w="10205" w:type="dxa"/>
            <w:gridSpan w:val="5"/>
          </w:tcPr>
          <w:p w:rsidR="00AB1724" w:rsidRPr="005A42D0" w:rsidRDefault="00AB1724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88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Акционерным обществом «Зеленодольское предприятие тепловых сетей» Зеленодольского муниципального района потребителям,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AB1724" w:rsidRPr="005A42D0" w:rsidTr="00AB1724">
        <w:tc>
          <w:tcPr>
            <w:tcW w:w="4561" w:type="dxa"/>
            <w:gridSpan w:val="3"/>
          </w:tcPr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644" w:type="dxa"/>
            <w:gridSpan w:val="2"/>
          </w:tcPr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AB1724" w:rsidRPr="005A42D0" w:rsidRDefault="00AB1724" w:rsidP="00996C4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4F6E50">
        <w:tc>
          <w:tcPr>
            <w:tcW w:w="10205" w:type="dxa"/>
            <w:gridSpan w:val="5"/>
          </w:tcPr>
          <w:p w:rsidR="00121A36" w:rsidRPr="005A42D0" w:rsidRDefault="00A50B71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b/>
                <w:i/>
                <w:sz w:val="28"/>
                <w:szCs w:val="28"/>
              </w:rPr>
              <w:t>В сфере электроэнергетики</w:t>
            </w:r>
            <w:r w:rsidRPr="005A42D0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5A42D0">
              <w:rPr>
                <w:rFonts w:eastAsia="Calibri"/>
                <w:b/>
                <w:i/>
                <w:sz w:val="28"/>
                <w:szCs w:val="28"/>
              </w:rPr>
              <w:t>16:00</w:t>
            </w:r>
          </w:p>
        </w:tc>
      </w:tr>
      <w:tr w:rsidR="00A50B71" w:rsidRPr="005A42D0" w:rsidTr="00BF270B">
        <w:tc>
          <w:tcPr>
            <w:tcW w:w="10205" w:type="dxa"/>
            <w:gridSpan w:val="5"/>
          </w:tcPr>
          <w:p w:rsidR="00A50B71" w:rsidRPr="005A42D0" w:rsidRDefault="00A50B71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88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«Сетевая компания» на 2026-2030 годы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2"/>
              <w:gridCol w:w="5937"/>
            </w:tblGrid>
            <w:tr w:rsidR="00A50B71" w:rsidRPr="005A42D0" w:rsidTr="00A50B71">
              <w:tc>
                <w:tcPr>
                  <w:tcW w:w="4052" w:type="dxa"/>
                </w:tcPr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5A42D0">
                    <w:rPr>
                      <w:i/>
                      <w:color w:val="000000"/>
                      <w:sz w:val="28"/>
                      <w:szCs w:val="28"/>
                    </w:rPr>
                    <w:t>Миннебаев Гаяз Фаритович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5A42D0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37" w:type="dxa"/>
                </w:tcPr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на электрическую энергию </w:t>
                  </w:r>
                </w:p>
              </w:tc>
            </w:tr>
            <w:tr w:rsidR="00A50B71" w:rsidRPr="005A42D0" w:rsidTr="00FC5F7D">
              <w:tc>
                <w:tcPr>
                  <w:tcW w:w="9989" w:type="dxa"/>
                  <w:gridSpan w:val="2"/>
                </w:tcPr>
                <w:p w:rsidR="00A50B71" w:rsidRPr="005A42D0" w:rsidRDefault="00A50B71" w:rsidP="00486121">
                  <w:pPr>
                    <w:pStyle w:val="ae"/>
                    <w:numPr>
                      <w:ilvl w:val="0"/>
                      <w:numId w:val="10"/>
                    </w:numPr>
                    <w:spacing w:after="0" w:line="240" w:lineRule="auto"/>
                    <w:ind w:left="0" w:firstLine="783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A42D0">
                    <w:rPr>
                      <w:b/>
                      <w:sz w:val="28"/>
                      <w:szCs w:val="28"/>
                    </w:rPr>
      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«Сетевая Компания «</w:t>
                  </w:r>
                  <w:proofErr w:type="spellStart"/>
                  <w:r w:rsidRPr="005A42D0">
                    <w:rPr>
                      <w:b/>
                      <w:sz w:val="28"/>
                      <w:szCs w:val="28"/>
                    </w:rPr>
                    <w:t>Энерго</w:t>
                  </w:r>
                  <w:proofErr w:type="spellEnd"/>
                  <w:r w:rsidRPr="005A42D0">
                    <w:rPr>
                      <w:b/>
                      <w:sz w:val="28"/>
                      <w:szCs w:val="28"/>
                    </w:rPr>
                    <w:t>» и Акционерным обществом «Сетевая компания» на 2026-2030 годы</w:t>
                  </w:r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  <w:tbl>
                  <w:tblPr>
                    <w:tblStyle w:val="af1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74"/>
                    <w:gridCol w:w="5799"/>
                  </w:tblGrid>
                  <w:tr w:rsidR="00A50B71" w:rsidRPr="005A42D0" w:rsidTr="00996C43">
                    <w:tc>
                      <w:tcPr>
                        <w:tcW w:w="4052" w:type="dxa"/>
                      </w:tcPr>
                      <w:p w:rsidR="00A50B71" w:rsidRPr="005A42D0" w:rsidRDefault="00A50B71" w:rsidP="00A50B71">
                        <w:pPr>
                          <w:tabs>
                            <w:tab w:val="left" w:pos="6804"/>
                          </w:tabs>
                          <w:spacing w:after="0" w:line="240" w:lineRule="auto"/>
                          <w:contextualSpacing/>
                          <w:rPr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5A42D0">
                          <w:rPr>
                            <w:i/>
                            <w:color w:val="000000"/>
                            <w:sz w:val="28"/>
                            <w:szCs w:val="28"/>
                          </w:rPr>
                          <w:t>Миннебаев Гаяз Фаритович</w:t>
                        </w:r>
                      </w:p>
                      <w:p w:rsidR="00A50B71" w:rsidRPr="005A42D0" w:rsidRDefault="00A50B71" w:rsidP="00A50B71">
                        <w:pPr>
                          <w:tabs>
                            <w:tab w:val="left" w:pos="6804"/>
                          </w:tabs>
                          <w:spacing w:after="0" w:line="240" w:lineRule="auto"/>
                          <w:contextualSpacing/>
                          <w:jc w:val="both"/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</w:pPr>
                        <w:r w:rsidRPr="005A42D0"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  <w:t>(выступление до 2 мин.)</w:t>
                        </w:r>
                      </w:p>
                      <w:p w:rsidR="00A50B71" w:rsidRPr="005A42D0" w:rsidRDefault="00A50B71" w:rsidP="00A50B71">
                        <w:pPr>
                          <w:tabs>
                            <w:tab w:val="left" w:pos="6804"/>
                          </w:tabs>
                          <w:spacing w:after="0" w:line="240" w:lineRule="auto"/>
                          <w:contextualSpacing/>
                          <w:jc w:val="both"/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937" w:type="dxa"/>
                      </w:tcPr>
                      <w:p w:rsidR="00A50B71" w:rsidRPr="005A42D0" w:rsidRDefault="00A50B71" w:rsidP="00A50B71">
                        <w:pPr>
                          <w:tabs>
                            <w:tab w:val="left" w:pos="6804"/>
                          </w:tabs>
                          <w:spacing w:after="0" w:line="240" w:lineRule="auto"/>
                          <w:contextualSpacing/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</w:rPr>
                        </w:pPr>
                        <w:r w:rsidRPr="005A42D0">
                          <w:rPr>
                            <w:rFonts w:eastAsia="Calibri"/>
                            <w:i/>
                            <w:sz w:val="28"/>
                            <w:szCs w:val="28"/>
                          </w:rPr>
                          <w:t xml:space="preserve">начальник отдела регулирования и контроля тарифов на электрическую энергию </w:t>
                        </w:r>
                      </w:p>
                    </w:tc>
                  </w:tr>
                </w:tbl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A50B71" w:rsidRPr="005A42D0" w:rsidTr="00A50B71">
              <w:tc>
                <w:tcPr>
                  <w:tcW w:w="9989" w:type="dxa"/>
                  <w:gridSpan w:val="2"/>
                </w:tcPr>
                <w:p w:rsidR="00A50B71" w:rsidRPr="005A42D0" w:rsidRDefault="00A50B71" w:rsidP="00486121">
                  <w:pPr>
                    <w:pStyle w:val="ae"/>
                    <w:numPr>
                      <w:ilvl w:val="0"/>
                      <w:numId w:val="10"/>
                    </w:numPr>
                    <w:spacing w:after="0" w:line="240" w:lineRule="auto"/>
                    <w:ind w:left="0" w:firstLine="783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A42D0">
                    <w:rPr>
                      <w:b/>
                      <w:sz w:val="28"/>
                      <w:szCs w:val="28"/>
                    </w:rPr>
                    <w:t>Об установлении цен (тарифов) на электрическую энергию для населения и приравненных к нему категорий потребителей Республики Татарстан на 2026 год</w:t>
                  </w:r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A50B71" w:rsidRPr="005A42D0" w:rsidTr="00A50B71">
              <w:tc>
                <w:tcPr>
                  <w:tcW w:w="4052" w:type="dxa"/>
                </w:tcPr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5A42D0">
                    <w:rPr>
                      <w:i/>
                      <w:color w:val="000000"/>
                      <w:sz w:val="28"/>
                      <w:szCs w:val="28"/>
                    </w:rPr>
                    <w:t>Миннебаев Гаяз Фаритович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5A42D0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937" w:type="dxa"/>
                </w:tcPr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на электрическую энергию 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A50B71" w:rsidRPr="005A42D0" w:rsidTr="00A50B71">
              <w:tc>
                <w:tcPr>
                  <w:tcW w:w="9989" w:type="dxa"/>
                  <w:gridSpan w:val="2"/>
                </w:tcPr>
                <w:p w:rsidR="00A50B71" w:rsidRPr="005A42D0" w:rsidRDefault="00A50B71" w:rsidP="00486121">
                  <w:pPr>
                    <w:pStyle w:val="ae"/>
                    <w:numPr>
                      <w:ilvl w:val="0"/>
                      <w:numId w:val="10"/>
                    </w:numPr>
                    <w:spacing w:after="0" w:line="240" w:lineRule="auto"/>
                    <w:ind w:left="0" w:firstLine="783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«Об установлении сбытовых надбавок гарантирующего поставщика электрической энергии Акционерного общества «</w:t>
                  </w:r>
                  <w:proofErr w:type="spellStart"/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Татэнергосбыт</w:t>
                  </w:r>
                  <w:proofErr w:type="spellEnd"/>
                  <w:r w:rsidRPr="005A42D0">
                    <w:rPr>
                      <w:rFonts w:eastAsia="Calibri"/>
                      <w:b/>
                      <w:sz w:val="28"/>
                      <w:szCs w:val="28"/>
                    </w:rPr>
                    <w:t>», поставляющего электрическую энергию (мощность) на розничном рынке на территории Республики Татарстан, на 2026 год».</w:t>
                  </w:r>
                </w:p>
              </w:tc>
            </w:tr>
            <w:tr w:rsidR="00A50B71" w:rsidRPr="005A42D0" w:rsidTr="00A50B71">
              <w:tc>
                <w:tcPr>
                  <w:tcW w:w="4052" w:type="dxa"/>
                </w:tcPr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5A42D0">
                    <w:rPr>
                      <w:i/>
                      <w:color w:val="000000"/>
                      <w:sz w:val="28"/>
                      <w:szCs w:val="28"/>
                    </w:rPr>
                    <w:t>Миннебаев Гаяз Фаритович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5A42D0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937" w:type="dxa"/>
                </w:tcPr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5A42D0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на электрическую энергию </w:t>
                  </w:r>
                </w:p>
                <w:p w:rsidR="00A50B71" w:rsidRPr="005A42D0" w:rsidRDefault="00A50B71" w:rsidP="00A50B7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A50B71" w:rsidRPr="005A42D0" w:rsidRDefault="00A50B71" w:rsidP="00121A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21A36" w:rsidRPr="005A42D0" w:rsidTr="00E96EDB">
        <w:tc>
          <w:tcPr>
            <w:tcW w:w="10205" w:type="dxa"/>
            <w:gridSpan w:val="5"/>
          </w:tcPr>
          <w:p w:rsidR="00507168" w:rsidRPr="005A42D0" w:rsidRDefault="00121A36" w:rsidP="00486121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88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  <w:tr w:rsidR="00507168" w:rsidRPr="005A42D0" w:rsidTr="00144279">
        <w:tc>
          <w:tcPr>
            <w:tcW w:w="10205" w:type="dxa"/>
            <w:gridSpan w:val="5"/>
            <w:shd w:val="clear" w:color="auto" w:fill="EAF1DD" w:themeFill="accent3" w:themeFillTint="33"/>
          </w:tcPr>
          <w:p w:rsidR="00507168" w:rsidRPr="005A42D0" w:rsidRDefault="00507168" w:rsidP="00486121">
            <w:pPr>
              <w:pStyle w:val="ae"/>
              <w:numPr>
                <w:ilvl w:val="1"/>
                <w:numId w:val="10"/>
              </w:numPr>
              <w:spacing w:after="0" w:line="240" w:lineRule="auto"/>
              <w:ind w:left="40" w:firstLine="851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тарифа на предоставление социальной услуги по сопровождаемому проживанию инвалидам с психическими расстройствами на 2026 год».</w:t>
            </w:r>
          </w:p>
        </w:tc>
      </w:tr>
      <w:tr w:rsidR="00507168" w:rsidRPr="005A42D0" w:rsidTr="00144279">
        <w:trPr>
          <w:gridAfter w:val="1"/>
          <w:wAfter w:w="140" w:type="dxa"/>
        </w:trPr>
        <w:tc>
          <w:tcPr>
            <w:tcW w:w="4253" w:type="dxa"/>
            <w:gridSpan w:val="2"/>
            <w:shd w:val="clear" w:color="auto" w:fill="EAF1DD" w:themeFill="accent3" w:themeFillTint="33"/>
          </w:tcPr>
          <w:p w:rsidR="00507168" w:rsidRPr="005A42D0" w:rsidRDefault="00507168" w:rsidP="0050716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507168" w:rsidRPr="005A42D0" w:rsidRDefault="00507168" w:rsidP="0050716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812" w:type="dxa"/>
            <w:gridSpan w:val="2"/>
            <w:shd w:val="clear" w:color="auto" w:fill="EAF1DD" w:themeFill="accent3" w:themeFillTint="33"/>
          </w:tcPr>
          <w:p w:rsidR="00507168" w:rsidRPr="005A42D0" w:rsidRDefault="00507168" w:rsidP="0050716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507168" w:rsidRPr="005A42D0" w:rsidRDefault="00507168" w:rsidP="0050716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507168" w:rsidRPr="005A42D0" w:rsidTr="00144279">
        <w:tc>
          <w:tcPr>
            <w:tcW w:w="10205" w:type="dxa"/>
            <w:gridSpan w:val="5"/>
            <w:shd w:val="clear" w:color="auto" w:fill="EAF1DD" w:themeFill="accent3" w:themeFillTint="33"/>
          </w:tcPr>
          <w:p w:rsidR="00507168" w:rsidRPr="005A42D0" w:rsidRDefault="00507168" w:rsidP="00486121">
            <w:pPr>
              <w:pStyle w:val="ae"/>
              <w:numPr>
                <w:ilvl w:val="1"/>
                <w:numId w:val="10"/>
              </w:numPr>
              <w:spacing w:after="0" w:line="240" w:lineRule="auto"/>
              <w:ind w:left="0" w:firstLine="891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 xml:space="preserve">О внесении изменения в постановление Государственного комитета Республики Татарстан по тарифам от 22.10.2025 </w:t>
            </w:r>
            <w:r w:rsidRPr="005A42D0">
              <w:rPr>
                <w:b/>
                <w:sz w:val="28"/>
                <w:szCs w:val="28"/>
              </w:rPr>
              <w:br/>
              <w:t xml:space="preserve">№ 249-1/нпс-2025 «Об установлении предельной максимальной цены на </w:t>
            </w:r>
            <w:r w:rsidRPr="005A42D0">
              <w:rPr>
                <w:b/>
                <w:sz w:val="28"/>
                <w:szCs w:val="28"/>
              </w:rPr>
              <w:lastRenderedPageBreak/>
              <w:t>кадастровые работы на территории Республики Татарстан в отношении земельных участков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507168" w:rsidRPr="005A42D0" w:rsidTr="00144279">
        <w:trPr>
          <w:gridAfter w:val="1"/>
          <w:wAfter w:w="140" w:type="dxa"/>
        </w:trPr>
        <w:tc>
          <w:tcPr>
            <w:tcW w:w="4253" w:type="dxa"/>
            <w:gridSpan w:val="2"/>
            <w:shd w:val="clear" w:color="auto" w:fill="EAF1DD" w:themeFill="accent3" w:themeFillTint="33"/>
          </w:tcPr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lastRenderedPageBreak/>
              <w:t>Чуйко Игорь Дмитриевич</w:t>
            </w:r>
          </w:p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812" w:type="dxa"/>
            <w:gridSpan w:val="2"/>
            <w:shd w:val="clear" w:color="auto" w:fill="EAF1DD" w:themeFill="accent3" w:themeFillTint="33"/>
          </w:tcPr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507168" w:rsidRPr="005A42D0" w:rsidTr="00144279">
        <w:tc>
          <w:tcPr>
            <w:tcW w:w="10205" w:type="dxa"/>
            <w:gridSpan w:val="5"/>
            <w:shd w:val="clear" w:color="auto" w:fill="EAF1DD" w:themeFill="accent3" w:themeFillTint="33"/>
          </w:tcPr>
          <w:p w:rsidR="00507168" w:rsidRPr="005A42D0" w:rsidRDefault="00507168" w:rsidP="00486121">
            <w:pPr>
              <w:pStyle w:val="ae"/>
              <w:numPr>
                <w:ilvl w:val="1"/>
                <w:numId w:val="10"/>
              </w:numPr>
              <w:spacing w:after="0" w:line="240" w:lineRule="auto"/>
              <w:ind w:left="0" w:firstLine="891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42D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2D0">
              <w:rPr>
                <w:b/>
                <w:sz w:val="28"/>
                <w:szCs w:val="28"/>
              </w:rPr>
              <w:t>О внесении изменения в приложение к постановлению Государственного комитета Республики Татарстан по тарифам от 22.10.2025 № 250-2/нпс-2025 «Об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строительства, на 2026 год</w:t>
            </w:r>
            <w:r w:rsidRPr="005A42D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507168" w:rsidRPr="005A42D0" w:rsidTr="00144279">
        <w:trPr>
          <w:gridAfter w:val="1"/>
          <w:wAfter w:w="140" w:type="dxa"/>
        </w:trPr>
        <w:tc>
          <w:tcPr>
            <w:tcW w:w="4253" w:type="dxa"/>
            <w:gridSpan w:val="2"/>
            <w:shd w:val="clear" w:color="auto" w:fill="EAF1DD" w:themeFill="accent3" w:themeFillTint="33"/>
          </w:tcPr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42D0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42D0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812" w:type="dxa"/>
            <w:gridSpan w:val="2"/>
            <w:shd w:val="clear" w:color="auto" w:fill="EAF1DD" w:themeFill="accent3" w:themeFillTint="33"/>
          </w:tcPr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42D0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507168" w:rsidRPr="005A42D0" w:rsidRDefault="00507168" w:rsidP="0007622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CC04B7" w:rsidRPr="005A42D0" w:rsidRDefault="00CC04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507168" w:rsidRPr="005A42D0" w:rsidRDefault="00507168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D4667" w:rsidRPr="005A42D0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D0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BD4667" w:rsidRPr="009B1A2C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D0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="00CE59A5" w:rsidRPr="005A42D0">
        <w:rPr>
          <w:rFonts w:ascii="Times New Roman" w:hAnsi="Times New Roman" w:cs="Times New Roman"/>
          <w:sz w:val="28"/>
          <w:szCs w:val="28"/>
        </w:rPr>
        <w:tab/>
      </w:r>
      <w:r w:rsidR="00CE59A5" w:rsidRPr="005A42D0">
        <w:rPr>
          <w:rFonts w:ascii="Times New Roman" w:hAnsi="Times New Roman" w:cs="Times New Roman"/>
          <w:sz w:val="28"/>
          <w:szCs w:val="28"/>
        </w:rPr>
        <w:tab/>
      </w:r>
      <w:r w:rsidR="00CE59A5" w:rsidRPr="005A42D0">
        <w:rPr>
          <w:rFonts w:ascii="Times New Roman" w:hAnsi="Times New Roman" w:cs="Times New Roman"/>
          <w:sz w:val="28"/>
          <w:szCs w:val="28"/>
        </w:rPr>
        <w:tab/>
      </w:r>
      <w:r w:rsidR="008B7D2C" w:rsidRPr="005A42D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A42D0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D4667" w:rsidRPr="009B1A2C" w:rsidSect="000A59C1">
      <w:headerReference w:type="default" r:id="rId8"/>
      <w:headerReference w:type="first" r:id="rId9"/>
      <w:pgSz w:w="11906" w:h="16838"/>
      <w:pgMar w:top="964" w:right="567" w:bottom="426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9A" w:rsidRDefault="00C37C9A">
      <w:pPr>
        <w:spacing w:after="0" w:line="240" w:lineRule="auto"/>
      </w:pPr>
      <w:r>
        <w:separator/>
      </w:r>
    </w:p>
  </w:endnote>
  <w:endnote w:type="continuationSeparator" w:id="0">
    <w:p w:rsidR="00C37C9A" w:rsidRDefault="00C3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9A" w:rsidRDefault="00C37C9A">
      <w:pPr>
        <w:spacing w:after="0" w:line="240" w:lineRule="auto"/>
      </w:pPr>
      <w:r>
        <w:separator/>
      </w:r>
    </w:p>
  </w:footnote>
  <w:footnote w:type="continuationSeparator" w:id="0">
    <w:p w:rsidR="00C37C9A" w:rsidRDefault="00C3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BE34CD" w:rsidRDefault="00BE34CD">
        <w:pPr>
          <w:pStyle w:val="a6"/>
          <w:jc w:val="center"/>
        </w:pPr>
        <w:r w:rsidRPr="00CA2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CF0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42D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CD" w:rsidRDefault="00BE34CD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F9D"/>
    <w:multiLevelType w:val="multilevel"/>
    <w:tmpl w:val="9A0C66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1" w15:restartNumberingAfterBreak="0">
    <w:nsid w:val="0841667F"/>
    <w:multiLevelType w:val="multilevel"/>
    <w:tmpl w:val="9A0C66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0E981C78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5E6D86"/>
    <w:multiLevelType w:val="hybridMultilevel"/>
    <w:tmpl w:val="15BC19FA"/>
    <w:lvl w:ilvl="0" w:tplc="BA18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447"/>
    <w:multiLevelType w:val="hybridMultilevel"/>
    <w:tmpl w:val="FA449AD8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1F472D27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6C7665"/>
    <w:multiLevelType w:val="multilevel"/>
    <w:tmpl w:val="9A0C66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 w15:restartNumberingAfterBreak="0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297F2352"/>
    <w:multiLevelType w:val="hybridMultilevel"/>
    <w:tmpl w:val="06BE29C4"/>
    <w:lvl w:ilvl="0" w:tplc="A70605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016069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34AA283B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38C47015"/>
    <w:multiLevelType w:val="hybridMultilevel"/>
    <w:tmpl w:val="387EC0C2"/>
    <w:lvl w:ilvl="0" w:tplc="AAA02992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3F25EEE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44413105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45883A62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B3C0C3E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4D1C7A6C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69C661C"/>
    <w:multiLevelType w:val="hybridMultilevel"/>
    <w:tmpl w:val="7EAC12E4"/>
    <w:lvl w:ilvl="0" w:tplc="1FCAD46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8B77BF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9361985"/>
    <w:multiLevelType w:val="hybridMultilevel"/>
    <w:tmpl w:val="9D7C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470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22C6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761F4405"/>
    <w:multiLevelType w:val="multilevel"/>
    <w:tmpl w:val="9A0C66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7" w15:restartNumberingAfterBreak="0">
    <w:nsid w:val="7D4F1B9E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D9F08F8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9" w15:restartNumberingAfterBreak="0">
    <w:nsid w:val="7DE1052B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4"/>
  </w:num>
  <w:num w:numId="5">
    <w:abstractNumId w:val="9"/>
  </w:num>
  <w:num w:numId="6">
    <w:abstractNumId w:val="28"/>
  </w:num>
  <w:num w:numId="7">
    <w:abstractNumId w:val="10"/>
  </w:num>
  <w:num w:numId="8">
    <w:abstractNumId w:val="20"/>
  </w:num>
  <w:num w:numId="9">
    <w:abstractNumId w:val="18"/>
  </w:num>
  <w:num w:numId="10">
    <w:abstractNumId w:val="1"/>
  </w:num>
  <w:num w:numId="11">
    <w:abstractNumId w:val="16"/>
  </w:num>
  <w:num w:numId="12">
    <w:abstractNumId w:val="5"/>
  </w:num>
  <w:num w:numId="13">
    <w:abstractNumId w:val="14"/>
  </w:num>
  <w:num w:numId="14">
    <w:abstractNumId w:val="15"/>
  </w:num>
  <w:num w:numId="15">
    <w:abstractNumId w:val="13"/>
  </w:num>
  <w:num w:numId="16">
    <w:abstractNumId w:val="29"/>
  </w:num>
  <w:num w:numId="17">
    <w:abstractNumId w:val="25"/>
  </w:num>
  <w:num w:numId="18">
    <w:abstractNumId w:val="22"/>
  </w:num>
  <w:num w:numId="19">
    <w:abstractNumId w:val="11"/>
  </w:num>
  <w:num w:numId="20">
    <w:abstractNumId w:val="23"/>
  </w:num>
  <w:num w:numId="21">
    <w:abstractNumId w:val="17"/>
  </w:num>
  <w:num w:numId="22">
    <w:abstractNumId w:val="2"/>
  </w:num>
  <w:num w:numId="23">
    <w:abstractNumId w:val="27"/>
  </w:num>
  <w:num w:numId="24">
    <w:abstractNumId w:val="19"/>
  </w:num>
  <w:num w:numId="25">
    <w:abstractNumId w:val="7"/>
  </w:num>
  <w:num w:numId="26">
    <w:abstractNumId w:val="4"/>
  </w:num>
  <w:num w:numId="27">
    <w:abstractNumId w:val="21"/>
  </w:num>
  <w:num w:numId="28">
    <w:abstractNumId w:val="0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67"/>
    <w:rsid w:val="000128C2"/>
    <w:rsid w:val="00020FA1"/>
    <w:rsid w:val="0005091D"/>
    <w:rsid w:val="00073C6B"/>
    <w:rsid w:val="000A59C1"/>
    <w:rsid w:val="000D5565"/>
    <w:rsid w:val="000E6948"/>
    <w:rsid w:val="00115D4F"/>
    <w:rsid w:val="001179D3"/>
    <w:rsid w:val="00121A36"/>
    <w:rsid w:val="00127DF6"/>
    <w:rsid w:val="00144279"/>
    <w:rsid w:val="001503D9"/>
    <w:rsid w:val="001537C7"/>
    <w:rsid w:val="00153EDA"/>
    <w:rsid w:val="00174D12"/>
    <w:rsid w:val="00191906"/>
    <w:rsid w:val="00192688"/>
    <w:rsid w:val="00192D3A"/>
    <w:rsid w:val="001C6777"/>
    <w:rsid w:val="001E0591"/>
    <w:rsid w:val="001F0B6B"/>
    <w:rsid w:val="00201F9E"/>
    <w:rsid w:val="002074E7"/>
    <w:rsid w:val="00216F40"/>
    <w:rsid w:val="00235070"/>
    <w:rsid w:val="0025159A"/>
    <w:rsid w:val="00270E7F"/>
    <w:rsid w:val="00274B34"/>
    <w:rsid w:val="002C6EB5"/>
    <w:rsid w:val="002D6564"/>
    <w:rsid w:val="002E05BE"/>
    <w:rsid w:val="002F6680"/>
    <w:rsid w:val="00310934"/>
    <w:rsid w:val="0031625C"/>
    <w:rsid w:val="00316B04"/>
    <w:rsid w:val="003254C8"/>
    <w:rsid w:val="00325CC0"/>
    <w:rsid w:val="00333BCD"/>
    <w:rsid w:val="003343F9"/>
    <w:rsid w:val="00342207"/>
    <w:rsid w:val="00357C2C"/>
    <w:rsid w:val="00365D97"/>
    <w:rsid w:val="00386F96"/>
    <w:rsid w:val="00395C87"/>
    <w:rsid w:val="003A0E6E"/>
    <w:rsid w:val="003B4C00"/>
    <w:rsid w:val="003B5421"/>
    <w:rsid w:val="004724A7"/>
    <w:rsid w:val="00486121"/>
    <w:rsid w:val="004A13D2"/>
    <w:rsid w:val="004A2147"/>
    <w:rsid w:val="004A71C7"/>
    <w:rsid w:val="004B5EFD"/>
    <w:rsid w:val="004C0481"/>
    <w:rsid w:val="004D2BBC"/>
    <w:rsid w:val="004E75EA"/>
    <w:rsid w:val="004F6788"/>
    <w:rsid w:val="00507168"/>
    <w:rsid w:val="00507F2E"/>
    <w:rsid w:val="00525A11"/>
    <w:rsid w:val="0054484E"/>
    <w:rsid w:val="00552C27"/>
    <w:rsid w:val="00553877"/>
    <w:rsid w:val="00574F8F"/>
    <w:rsid w:val="0059291C"/>
    <w:rsid w:val="005A2E63"/>
    <w:rsid w:val="005A42D0"/>
    <w:rsid w:val="005A7A85"/>
    <w:rsid w:val="005B509B"/>
    <w:rsid w:val="005D5F92"/>
    <w:rsid w:val="0060020B"/>
    <w:rsid w:val="00604929"/>
    <w:rsid w:val="00630565"/>
    <w:rsid w:val="006307C9"/>
    <w:rsid w:val="006846B5"/>
    <w:rsid w:val="006A5530"/>
    <w:rsid w:val="006B533D"/>
    <w:rsid w:val="006D0CB9"/>
    <w:rsid w:val="006D14C1"/>
    <w:rsid w:val="00702D6C"/>
    <w:rsid w:val="00710DED"/>
    <w:rsid w:val="007174CC"/>
    <w:rsid w:val="00741F5C"/>
    <w:rsid w:val="00752DCB"/>
    <w:rsid w:val="007566C5"/>
    <w:rsid w:val="0075799E"/>
    <w:rsid w:val="007648D7"/>
    <w:rsid w:val="00764A23"/>
    <w:rsid w:val="00772985"/>
    <w:rsid w:val="0077417D"/>
    <w:rsid w:val="00784A3D"/>
    <w:rsid w:val="00787A94"/>
    <w:rsid w:val="0081220D"/>
    <w:rsid w:val="00875B49"/>
    <w:rsid w:val="008978AB"/>
    <w:rsid w:val="008B23E8"/>
    <w:rsid w:val="008B7D2C"/>
    <w:rsid w:val="008C2F92"/>
    <w:rsid w:val="00900C99"/>
    <w:rsid w:val="00906B30"/>
    <w:rsid w:val="00906BB3"/>
    <w:rsid w:val="00944C2B"/>
    <w:rsid w:val="00945BB8"/>
    <w:rsid w:val="00961ED0"/>
    <w:rsid w:val="00962349"/>
    <w:rsid w:val="00994464"/>
    <w:rsid w:val="009A012D"/>
    <w:rsid w:val="009B1A2C"/>
    <w:rsid w:val="009C5033"/>
    <w:rsid w:val="009C60D6"/>
    <w:rsid w:val="009E1897"/>
    <w:rsid w:val="009E1F86"/>
    <w:rsid w:val="009F438D"/>
    <w:rsid w:val="00A12E04"/>
    <w:rsid w:val="00A230A6"/>
    <w:rsid w:val="00A34489"/>
    <w:rsid w:val="00A41927"/>
    <w:rsid w:val="00A50B71"/>
    <w:rsid w:val="00A64043"/>
    <w:rsid w:val="00A93714"/>
    <w:rsid w:val="00AA7322"/>
    <w:rsid w:val="00AB1724"/>
    <w:rsid w:val="00AB2CEB"/>
    <w:rsid w:val="00AB56F1"/>
    <w:rsid w:val="00AC79E7"/>
    <w:rsid w:val="00AD6221"/>
    <w:rsid w:val="00B010F0"/>
    <w:rsid w:val="00B01F76"/>
    <w:rsid w:val="00B0371F"/>
    <w:rsid w:val="00B06A18"/>
    <w:rsid w:val="00B0781C"/>
    <w:rsid w:val="00B21F4F"/>
    <w:rsid w:val="00B42189"/>
    <w:rsid w:val="00BA2B5C"/>
    <w:rsid w:val="00BA7E22"/>
    <w:rsid w:val="00BB22A2"/>
    <w:rsid w:val="00BB4B1A"/>
    <w:rsid w:val="00BB73E6"/>
    <w:rsid w:val="00BD4667"/>
    <w:rsid w:val="00BE34CD"/>
    <w:rsid w:val="00BE6D8B"/>
    <w:rsid w:val="00BF0853"/>
    <w:rsid w:val="00C035DF"/>
    <w:rsid w:val="00C310D1"/>
    <w:rsid w:val="00C324EB"/>
    <w:rsid w:val="00C37C9A"/>
    <w:rsid w:val="00C52B6F"/>
    <w:rsid w:val="00C539D2"/>
    <w:rsid w:val="00C55CA2"/>
    <w:rsid w:val="00C70714"/>
    <w:rsid w:val="00C94EF8"/>
    <w:rsid w:val="00CA2CF0"/>
    <w:rsid w:val="00CA756F"/>
    <w:rsid w:val="00CB24C4"/>
    <w:rsid w:val="00CC04B7"/>
    <w:rsid w:val="00CD3DB6"/>
    <w:rsid w:val="00CE59A5"/>
    <w:rsid w:val="00CE6170"/>
    <w:rsid w:val="00D06638"/>
    <w:rsid w:val="00D3541A"/>
    <w:rsid w:val="00D377C2"/>
    <w:rsid w:val="00D804BF"/>
    <w:rsid w:val="00DA63FF"/>
    <w:rsid w:val="00DB4DE5"/>
    <w:rsid w:val="00DC1FDF"/>
    <w:rsid w:val="00DC3AE0"/>
    <w:rsid w:val="00DD3494"/>
    <w:rsid w:val="00DD614C"/>
    <w:rsid w:val="00DE2D52"/>
    <w:rsid w:val="00DF7B6E"/>
    <w:rsid w:val="00E04B17"/>
    <w:rsid w:val="00E30A40"/>
    <w:rsid w:val="00E33363"/>
    <w:rsid w:val="00E46CE0"/>
    <w:rsid w:val="00E53900"/>
    <w:rsid w:val="00E6550D"/>
    <w:rsid w:val="00E72A45"/>
    <w:rsid w:val="00E751DE"/>
    <w:rsid w:val="00E96EDB"/>
    <w:rsid w:val="00EF361F"/>
    <w:rsid w:val="00EF40F4"/>
    <w:rsid w:val="00F2473A"/>
    <w:rsid w:val="00F3584F"/>
    <w:rsid w:val="00F463AC"/>
    <w:rsid w:val="00F63496"/>
    <w:rsid w:val="00F671A1"/>
    <w:rsid w:val="00F72C31"/>
    <w:rsid w:val="00FC06C6"/>
    <w:rsid w:val="00FC15FF"/>
    <w:rsid w:val="00FD31EA"/>
    <w:rsid w:val="00FE7336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2F0F1-D9C6-4ED8-8CE8-419CB5C6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0011-FE9C-496F-934E-5B77945C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4</cp:revision>
  <cp:lastPrinted>2025-09-29T10:53:00Z</cp:lastPrinted>
  <dcterms:created xsi:type="dcterms:W3CDTF">2025-12-17T15:37:00Z</dcterms:created>
  <dcterms:modified xsi:type="dcterms:W3CDTF">2025-12-17T16:02:00Z</dcterms:modified>
  <dc:language>ru-RU</dc:language>
</cp:coreProperties>
</file>