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43" w:rsidRPr="00EB1B43" w:rsidRDefault="00EB1B43" w:rsidP="00EB1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EB1B43" w:rsidRPr="00EB1B43" w:rsidRDefault="00EB1B43" w:rsidP="00EB1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 августа 2014 года</w:t>
      </w: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№ 26</w:t>
      </w: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EB1B43" w:rsidRPr="00EB1B43" w:rsidRDefault="00EB1B43" w:rsidP="00EB1B4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bookmarkStart w:id="0" w:name="_GoBack"/>
      <w:bookmarkEnd w:id="0"/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14 ч.00 мин.</w:t>
      </w: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1B43" w:rsidRPr="00EB1B43" w:rsidRDefault="00EB1B43" w:rsidP="00EB1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44536" w:rsidRDefault="008906C3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8906C3" w:rsidRPr="00F44536" w:rsidRDefault="008906C3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F44536" w:rsidRDefault="008906C3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25A2A" w:rsidRPr="00F44536" w:rsidRDefault="00925A2A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13F12" w:rsidRPr="00FC0488" w:rsidRDefault="00C13F12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F44536" w:rsidRDefault="008906C3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</w:t>
            </w:r>
            <w:r w:rsidR="00C13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84F29" w:rsidRDefault="00984F29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A85" w:rsidRDefault="00545A85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14:45</w:t>
            </w: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A85" w:rsidRDefault="00545A85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A85" w:rsidRDefault="00545A85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A85" w:rsidRDefault="00545A85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A85" w:rsidRDefault="00545A85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A85" w:rsidRDefault="00545A85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A85" w:rsidRDefault="00545A85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A85" w:rsidRDefault="00545A85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A85" w:rsidRDefault="00545A85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A85" w:rsidRDefault="00545A85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8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Default="00C13F12" w:rsidP="00C13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14:55</w:t>
            </w:r>
          </w:p>
          <w:p w:rsidR="00545A85" w:rsidRDefault="00545A85" w:rsidP="00C13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A85" w:rsidRDefault="00545A85" w:rsidP="00C13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A85" w:rsidRDefault="00545A85" w:rsidP="00C13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A85" w:rsidRDefault="00545A85" w:rsidP="00C13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A85" w:rsidRPr="00F44536" w:rsidRDefault="00545A85" w:rsidP="00C13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4535" w:type="pct"/>
            <w:gridSpan w:val="2"/>
            <w:shd w:val="clear" w:color="auto" w:fill="auto"/>
          </w:tcPr>
          <w:p w:rsidR="00545A85" w:rsidRPr="00545A85" w:rsidRDefault="00545A85" w:rsidP="0054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Об установлении платы за технологическое присоединение к электрическим сетям ОАО «Сетевая компания» энергопринимающих устройств ЗАО «Газпром инвест Юг».</w:t>
            </w:r>
          </w:p>
          <w:p w:rsidR="00545A85" w:rsidRDefault="00545A85" w:rsidP="0054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К.В.Дмитриева</w:t>
            </w:r>
          </w:p>
          <w:p w:rsidR="00545A85" w:rsidRDefault="00545A85" w:rsidP="00A5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5BA" w:rsidRPr="008E2D48" w:rsidRDefault="00545A85" w:rsidP="00A5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545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8D60A9" w:rsidRPr="008D60A9">
              <w:rPr>
                <w:rFonts w:ascii="Times New Roman" w:hAnsi="Times New Roman" w:cs="Times New Roman"/>
                <w:bCs/>
                <w:sz w:val="28"/>
                <w:szCs w:val="28"/>
              </w:rPr>
              <w:t>платы за подключение (технологическое присоединение) объекта капитального строительства ОАО «Агентство по ипотечному жилищному кредитованию РТ» - «Строительство сетей холодного водоснабжения северо-восточной части г.</w:t>
            </w:r>
            <w:r w:rsidR="00167E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60A9" w:rsidRPr="008D60A9">
              <w:rPr>
                <w:rFonts w:ascii="Times New Roman" w:hAnsi="Times New Roman" w:cs="Times New Roman"/>
                <w:bCs/>
                <w:sz w:val="28"/>
                <w:szCs w:val="28"/>
              </w:rPr>
              <w:t>Чистополь» к централизованной системе холодного водоснабжения «Чистополь-Водоканал» филиала ЗАО «Стройтех»</w:t>
            </w:r>
            <w:r w:rsidR="00A545BA" w:rsidRPr="008D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06C3" w:rsidRDefault="008906C3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8D60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К.В.Дмитриева</w:t>
            </w:r>
          </w:p>
          <w:p w:rsidR="008906C3" w:rsidRPr="008D60A9" w:rsidRDefault="008906C3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0A9" w:rsidRPr="008E2D48" w:rsidRDefault="00545A85" w:rsidP="008D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D60A9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8D60A9" w:rsidRPr="008D6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="008D60A9" w:rsidRPr="008D6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внесении</w:t>
            </w:r>
            <w:proofErr w:type="gramEnd"/>
            <w:r w:rsidR="008D60A9" w:rsidRPr="008D6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изменений в постановление Государственного комитета Республики Татарстан по тарифам от 6 мая 2014г. №6-32/тп</w:t>
            </w:r>
            <w:r w:rsidR="008D60A9" w:rsidRPr="008D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D60A9" w:rsidRPr="008D6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 платы за подключение к системе теплоснабжения ОАО «Казэнерго» в расчете на единицу мощности подключаемой тепловой нагрузки»</w:t>
            </w:r>
            <w:r w:rsidR="008D60A9" w:rsidRPr="008D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60A9" w:rsidRPr="00F44536" w:rsidRDefault="008D60A9" w:rsidP="008D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167E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8D60A9" w:rsidRPr="008D60A9" w:rsidRDefault="008D60A9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0A9" w:rsidRPr="008E2D48" w:rsidRDefault="00545A85" w:rsidP="008D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D60A9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545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8D60A9" w:rsidRPr="008D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тепловую энергию, поставляемую теплоснабжающими организациями потребителям.</w:t>
            </w:r>
          </w:p>
          <w:p w:rsidR="008D60A9" w:rsidRDefault="00C13F12" w:rsidP="008D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C13F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Азнакаевский МР: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ОАО «Северо-западные магистральные нефтепроводы»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; </w:t>
            </w:r>
            <w:r w:rsidRPr="00C13F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Альметьевский МР: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ОАО «Альметьевский завод «Радиоприбор»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; </w:t>
            </w:r>
            <w:r w:rsidRPr="00C13F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 «город Набережные Челны»: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ОАО «Северо-западные магистральные нефтепроводы»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C13F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Чистопольский</w:t>
            </w:r>
            <w:proofErr w:type="spellEnd"/>
            <w:r w:rsidRPr="00C13F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МР: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proofErr w:type="gramStart"/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ОАО «Северо-западные магистральные нефтепроводы»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).</w:t>
            </w:r>
            <w:proofErr w:type="gramEnd"/>
          </w:p>
          <w:p w:rsidR="008D60A9" w:rsidRPr="00F44536" w:rsidRDefault="008D60A9" w:rsidP="008D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67E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Э.Э.Кубашева</w:t>
            </w:r>
            <w:proofErr w:type="spellEnd"/>
          </w:p>
          <w:p w:rsidR="008D60A9" w:rsidRPr="008D60A9" w:rsidRDefault="008D60A9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0A9" w:rsidRDefault="00545A85" w:rsidP="008D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D60A9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545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C13F12" w:rsidRPr="00C13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питьевую воду</w:t>
            </w:r>
            <w:r w:rsidR="008D60A9" w:rsidRPr="008D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3F12" w:rsidRPr="008E2D48" w:rsidRDefault="00C13F12" w:rsidP="00C13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C13F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Верхнеуслонский МР: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</w:t>
            </w:r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 «Печищи»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; </w:t>
            </w:r>
            <w:r w:rsidRPr="00C13F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Елабужский МР: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Автономн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ые</w:t>
            </w:r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я:</w:t>
            </w:r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Альметьевского сельского поселения «Центр обслуживания населения»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Большееловского</w:t>
            </w:r>
            <w:proofErr w:type="spellEnd"/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«Центр обслуживания населения», </w:t>
            </w:r>
            <w:proofErr w:type="spellStart"/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Большекачкинского</w:t>
            </w:r>
            <w:proofErr w:type="spellEnd"/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«Центр обслуживания населения», </w:t>
            </w:r>
            <w:proofErr w:type="spellStart"/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Костенеевского</w:t>
            </w:r>
            <w:proofErr w:type="spellEnd"/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сельского поселения «Центр обслуживан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ия населения», </w:t>
            </w:r>
            <w:proofErr w:type="spellStart"/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Мортовского</w:t>
            </w:r>
            <w:proofErr w:type="spellEnd"/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«Центр обслуживания населения», </w:t>
            </w:r>
            <w:proofErr w:type="spellStart"/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Старокуклюкского</w:t>
            </w:r>
            <w:proofErr w:type="spellEnd"/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«Центр обслуживания населения», </w:t>
            </w:r>
            <w:proofErr w:type="spellStart"/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Яковлевского</w:t>
            </w:r>
            <w:proofErr w:type="spellEnd"/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сельского поселения «Центр об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служивания населения»,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ОАПК «Народ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ное предприятие – Родная Земля», </w:t>
            </w:r>
            <w:r w:rsidRP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«Центр обслуживания поселений»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).</w:t>
            </w:r>
            <w:proofErr w:type="gramEnd"/>
          </w:p>
          <w:p w:rsidR="008D60A9" w:rsidRPr="00F44536" w:rsidRDefault="008D60A9" w:rsidP="008D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C13F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</w:p>
          <w:p w:rsidR="008D60A9" w:rsidRDefault="008D60A9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0A9" w:rsidRPr="008E2D48" w:rsidRDefault="00545A85" w:rsidP="008D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D60A9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545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C13F12" w:rsidRPr="00C13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услуги по утилизации и захоронению твердых бытовых отходов, оказываемые ОАО «Коммунальные сети Верхнеуслонского района»</w:t>
            </w:r>
            <w:r w:rsidR="008D60A9" w:rsidRPr="008D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3F12" w:rsidRPr="00F44536" w:rsidRDefault="00C13F12" w:rsidP="00C13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</w:p>
          <w:p w:rsidR="008D60A9" w:rsidRPr="008D60A9" w:rsidRDefault="008D60A9" w:rsidP="0089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F29" w:rsidRPr="00F44536" w:rsidRDefault="00545A85" w:rsidP="00A5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Разное.</w:t>
            </w: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Pr="008906C3" w:rsidRDefault="00C13F12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984F29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F12" w:rsidRPr="008906C3" w:rsidRDefault="00C13F12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984F29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A545BA" w:rsidRDefault="00A545BA"/>
    <w:sectPr w:rsidR="00A545BA" w:rsidSect="008906C3">
      <w:pgSz w:w="11906" w:h="16838"/>
      <w:pgMar w:top="1134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120907"/>
    <w:rsid w:val="00167EF0"/>
    <w:rsid w:val="00246483"/>
    <w:rsid w:val="00360727"/>
    <w:rsid w:val="00545A85"/>
    <w:rsid w:val="005A347C"/>
    <w:rsid w:val="006736DA"/>
    <w:rsid w:val="008278BA"/>
    <w:rsid w:val="008906C3"/>
    <w:rsid w:val="008D60A9"/>
    <w:rsid w:val="008E2D48"/>
    <w:rsid w:val="00925A2A"/>
    <w:rsid w:val="00970D20"/>
    <w:rsid w:val="00984F29"/>
    <w:rsid w:val="009F568D"/>
    <w:rsid w:val="009F7D99"/>
    <w:rsid w:val="00A545BA"/>
    <w:rsid w:val="00BF5FA2"/>
    <w:rsid w:val="00C13F12"/>
    <w:rsid w:val="00C953F1"/>
    <w:rsid w:val="00D61E9B"/>
    <w:rsid w:val="00E2472F"/>
    <w:rsid w:val="00EB1B43"/>
    <w:rsid w:val="00EE569E"/>
    <w:rsid w:val="00F44536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3CE1C-8976-4C50-A950-CEA81DF6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Гимадиев Рамис Данисович</cp:lastModifiedBy>
  <cp:revision>2</cp:revision>
  <cp:lastPrinted>2014-08-13T05:39:00Z</cp:lastPrinted>
  <dcterms:created xsi:type="dcterms:W3CDTF">2014-08-13T05:40:00Z</dcterms:created>
  <dcterms:modified xsi:type="dcterms:W3CDTF">2014-08-13T05:40:00Z</dcterms:modified>
</cp:coreProperties>
</file>