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F" w:rsidRDefault="00285C6F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13 января 2015 г. N 35535</w:t>
      </w:r>
    </w:p>
    <w:p w:rsidR="00285C6F" w:rsidRDefault="00285C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Title"/>
        <w:jc w:val="center"/>
      </w:pPr>
      <w:r>
        <w:t>ФЕДЕРАЛЬНАЯ СЛУЖБА ПО ТАРИФАМ</w:t>
      </w:r>
    </w:p>
    <w:p w:rsidR="00285C6F" w:rsidRDefault="00285C6F">
      <w:pPr>
        <w:pStyle w:val="ConsPlusTitle"/>
        <w:jc w:val="center"/>
      </w:pPr>
    </w:p>
    <w:p w:rsidR="00285C6F" w:rsidRDefault="00285C6F">
      <w:pPr>
        <w:pStyle w:val="ConsPlusTitle"/>
        <w:jc w:val="center"/>
      </w:pPr>
      <w:r>
        <w:t>ПРИКАЗ</w:t>
      </w:r>
    </w:p>
    <w:p w:rsidR="00285C6F" w:rsidRDefault="00285C6F">
      <w:pPr>
        <w:pStyle w:val="ConsPlusTitle"/>
        <w:jc w:val="center"/>
      </w:pPr>
      <w:r>
        <w:t>от 24 октября 2014 г. N 1831-э</w:t>
      </w:r>
    </w:p>
    <w:p w:rsidR="00285C6F" w:rsidRDefault="00285C6F">
      <w:pPr>
        <w:pStyle w:val="ConsPlusTitle"/>
        <w:jc w:val="center"/>
      </w:pPr>
    </w:p>
    <w:p w:rsidR="00285C6F" w:rsidRDefault="00285C6F">
      <w:pPr>
        <w:pStyle w:val="ConsPlusTitle"/>
        <w:jc w:val="center"/>
      </w:pPr>
      <w:r>
        <w:t>ОБ УТВЕРЖДЕНИИ ФОРМ РАСКРЫТИЯ ИНФОРМАЦИИ</w:t>
      </w:r>
    </w:p>
    <w:p w:rsidR="00285C6F" w:rsidRDefault="00285C6F">
      <w:pPr>
        <w:pStyle w:val="ConsPlusTitle"/>
        <w:jc w:val="center"/>
      </w:pPr>
      <w:r>
        <w:t>СУБЪЕКТАМИ РЫНКОВ ЭЛЕКТРИЧЕСКОЙ ЭНЕРГИИ И МОЩНОСТИ,</w:t>
      </w:r>
    </w:p>
    <w:p w:rsidR="00285C6F" w:rsidRDefault="00285C6F">
      <w:pPr>
        <w:pStyle w:val="ConsPlusTitle"/>
        <w:jc w:val="center"/>
      </w:pPr>
      <w:r>
        <w:t>ЯВЛЯЮЩИМИСЯ СУБЪЕКТАМИ ЕСТЕСТВЕННЫХ МОНОПОЛИЙ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17 августа 1995 года N 147-ФЗ "О естественных монополиях" (Собрание законодательства Российской Федерации, 1995, N 34, ст. 3426; 2001, N 33 (часть I), ст. 3429; 2002, N 1 (часть I), ст. 2; 2003, N 2, ст. 168; N 13, ст. 1181; 2004, N 27, ст. 2711;</w:t>
      </w:r>
      <w:proofErr w:type="gramEnd"/>
      <w:r>
        <w:t xml:space="preserve"> </w:t>
      </w:r>
      <w:proofErr w:type="gramStart"/>
      <w:r>
        <w:t>2006, N 1, ст. 10; N 19, ст. 2063; 2007, N 1 (часть I), ст. 21; N 43, ст. 5084; N 46, ст. 5557; 2008, N 52 (часть I), ст. 6236; 2011, N 29, ст. 4281; N 30 (часть I), ст. 4590, ст. 4596; N 50, ст. 7343; 2012, N 26, ст. 3446;</w:t>
      </w:r>
      <w:proofErr w:type="gramEnd"/>
      <w:r>
        <w:t xml:space="preserve"> N 31, ст. 4321; N 51 (часть I), ст. 7616), на основании постановлений Правительства Российской Федерации от 28 апреля 2014 года </w:t>
      </w:r>
      <w:hyperlink r:id="rId6" w:history="1">
        <w:r>
          <w:rPr>
            <w:color w:val="0000FF"/>
          </w:rPr>
          <w:t>N 381</w:t>
        </w:r>
      </w:hyperlink>
      <w:r>
        <w:t xml:space="preserve"> "О внесении изменений в стандарты раскрытия информации субъектами оптового и розничных рынков электрической энергии" (Собрание законодательства Российской Федерации, 2014, N 19, ст. 2416; </w:t>
      </w:r>
      <w:proofErr w:type="gramStart"/>
      <w:r>
        <w:t xml:space="preserve">N 34, ст. 4659), от 21 января 2004 года </w:t>
      </w:r>
      <w:hyperlink r:id="rId7" w:history="1">
        <w:r>
          <w:rPr>
            <w:color w:val="0000FF"/>
          </w:rPr>
          <w:t>N 24</w:t>
        </w:r>
      </w:hyperlink>
      <w:r>
        <w:t xml:space="preserve">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4431; 2011, N 45, ст. 6404;</w:t>
      </w:r>
      <w:proofErr w:type="gramEnd"/>
      <w:r>
        <w:t xml:space="preserve"> 2012, N 4, ст. 505; N 23, ст. 3008; 2013, N 27, ст. 3602; N 31, ст. 4216, ст. 4226; N 36, ст. 4586; N 50, ст. 6598; 2014, N 9, ст. 907; N 8, ст. 815; N 9, ст. 919; N 19, ст. 2416; N 25, ст. 3311; </w:t>
      </w:r>
      <w:proofErr w:type="gramStart"/>
      <w:r>
        <w:t xml:space="preserve">N 34, ст. 4659),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(Собрание законодательства Российской Федерации, 2012, N 4, ст. 504; N 16, ст. 1883; N 20, ст. 2539; N 23, ст. 3008; N 24, ст. 3185;</w:t>
      </w:r>
      <w:proofErr w:type="gramEnd"/>
      <w:r>
        <w:t xml:space="preserve"> </w:t>
      </w:r>
      <w:proofErr w:type="gramStart"/>
      <w:r>
        <w:t>N 28, ст. 3897; N 41, ст. 5636; 2013, N 1, ст. 68; N 21, ст. 2647; N 22, ст. 2817; N 26, ст. 3337; N 27, ст. 3602; N 31, ст. 4216, ст. 4234; N 35, ст. 4528; N 44, ст. 5754; N 47, ст. 6105; 2014, N 2 (часть I), ст. 89, ст. 131;</w:t>
      </w:r>
      <w:proofErr w:type="gramEnd"/>
      <w:r>
        <w:t xml:space="preserve"> N 8, ст. 813; N 9, ст. 919; N 11, ст. 1156; N 23, ст. 2994; N 25, ст. 3311, N 28, ст. 4050; N 32, ст. 4521; N 33, ст. 4596; N 34, ст. 4659, ст. 4677; </w:t>
      </w:r>
      <w:proofErr w:type="gramStart"/>
      <w:r>
        <w:t xml:space="preserve">N 35, ст. 4769),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Федеральной службе по тарифам, утвержденным постановлением Правительства Российской Федерации от 30 июня 2004 года N 332 (Собрание законодательства Российской Федерации, 2004, N 29, ст. 3049; 2006, N 3, ст. 301; N 23, ст. 2522; N 48, ст. 5032; N 50, ст. 5354; 2007, N 16, ст. 1912;</w:t>
      </w:r>
      <w:proofErr w:type="gramEnd"/>
      <w:r>
        <w:t xml:space="preserve"> </w:t>
      </w:r>
      <w:proofErr w:type="gramStart"/>
      <w:r>
        <w:t>N 25, ст. 3039; N 32, ст. 4145; 2008, N 7, ст. 597; N 17, ст. 1897; N 23, ст. 2719; N 38, ст. 4309; N 46, ст. 5337; 2009, N 1, ст. 142; N 3, ст. 378; N 6, ст. 738; N 9, ст. 1119; N 18 (часть II), ст. 2249;</w:t>
      </w:r>
      <w:proofErr w:type="gramEnd"/>
      <w:r>
        <w:t xml:space="preserve"> </w:t>
      </w:r>
      <w:proofErr w:type="gramStart"/>
      <w:r>
        <w:t>N 33, ст. 4086; 2010, N 9, ст. 960; N 13, ст. 1514; N 25, ст. 3169; N 26, ст. 3350; N 30, ст. 4096; N 45, ст. 5851, ст. 5822), приказываю:</w:t>
      </w:r>
      <w:proofErr w:type="gramEnd"/>
    </w:p>
    <w:p w:rsidR="00285C6F" w:rsidRDefault="00285C6F">
      <w:pPr>
        <w:pStyle w:val="ConsPlusNormal"/>
        <w:spacing w:before="220"/>
        <w:ind w:firstLine="540"/>
        <w:jc w:val="both"/>
      </w:pPr>
      <w:r>
        <w:t xml:space="preserve">1. Утвердить формы раскрытия информации сетевыми организациями согласно </w:t>
      </w:r>
      <w:hyperlink w:anchor="P32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1166" w:history="1">
        <w:r>
          <w:rPr>
            <w:color w:val="0000FF"/>
          </w:rPr>
          <w:t>5</w:t>
        </w:r>
      </w:hyperlink>
      <w:r>
        <w:t xml:space="preserve"> к настоящему приказу.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 xml:space="preserve">2. Утвердить формы раскрытия информации субъектами оперативно-диспетчерского управления согласно </w:t>
      </w:r>
      <w:hyperlink w:anchor="P1534" w:history="1">
        <w:r>
          <w:rPr>
            <w:color w:val="0000FF"/>
          </w:rPr>
          <w:t>приложениям 6</w:t>
        </w:r>
      </w:hyperlink>
      <w:r>
        <w:t xml:space="preserve"> - </w:t>
      </w:r>
      <w:hyperlink w:anchor="P1912" w:history="1">
        <w:r>
          <w:rPr>
            <w:color w:val="0000FF"/>
          </w:rPr>
          <w:t>9</w:t>
        </w:r>
      </w:hyperlink>
      <w:r>
        <w:t xml:space="preserve"> к настоящему приказу.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ФСТ России от 02.03.2011 N 56-э "Об утверждении форм раскрытия информации субъектами оптового и розничных рынков электрической энергии, осуществляющими деятельность в сферах деятельности субъектов естественных монополий" (зарегистрирован Минюстом России 08.04.2011, регистрационный N 20443).</w:t>
      </w:r>
      <w:proofErr w:type="gramEnd"/>
    </w:p>
    <w:p w:rsidR="00285C6F" w:rsidRDefault="00285C6F">
      <w:pPr>
        <w:pStyle w:val="ConsPlusNormal"/>
        <w:spacing w:before="220"/>
        <w:ind w:firstLine="540"/>
        <w:jc w:val="both"/>
      </w:pPr>
      <w:r>
        <w:t>4. Настоящий приказ вступает в силу в установленном порядке.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right"/>
      </w:pPr>
      <w:r>
        <w:t>Руководитель</w:t>
      </w:r>
    </w:p>
    <w:p w:rsidR="00285C6F" w:rsidRDefault="00285C6F">
      <w:pPr>
        <w:pStyle w:val="ConsPlusNormal"/>
        <w:jc w:val="right"/>
      </w:pPr>
      <w:r>
        <w:t>Федеральной службы по тарифам</w:t>
      </w:r>
    </w:p>
    <w:p w:rsidR="00285C6F" w:rsidRDefault="00285C6F">
      <w:pPr>
        <w:pStyle w:val="ConsPlusNormal"/>
        <w:jc w:val="right"/>
      </w:pPr>
      <w:r>
        <w:lastRenderedPageBreak/>
        <w:t>С.НОВИКОВ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right"/>
        <w:outlineLvl w:val="0"/>
      </w:pPr>
      <w:r>
        <w:t>Приложение 1</w:t>
      </w:r>
    </w:p>
    <w:p w:rsidR="00285C6F" w:rsidRDefault="00285C6F">
      <w:pPr>
        <w:pStyle w:val="ConsPlusNormal"/>
        <w:jc w:val="right"/>
      </w:pPr>
      <w:r>
        <w:t>к приказу</w:t>
      </w:r>
    </w:p>
    <w:p w:rsidR="00285C6F" w:rsidRDefault="00285C6F">
      <w:pPr>
        <w:pStyle w:val="ConsPlusNormal"/>
        <w:jc w:val="right"/>
      </w:pPr>
      <w:r>
        <w:t>Федеральной службы по тарифам</w:t>
      </w:r>
    </w:p>
    <w:p w:rsidR="00285C6F" w:rsidRDefault="00285C6F">
      <w:pPr>
        <w:pStyle w:val="ConsPlusNormal"/>
        <w:jc w:val="right"/>
      </w:pPr>
      <w:r>
        <w:t>от 24 октября 2014 г. N 1831-э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Title"/>
        <w:jc w:val="center"/>
      </w:pPr>
      <w:bookmarkStart w:id="1" w:name="P32"/>
      <w:bookmarkEnd w:id="1"/>
      <w:r>
        <w:t>Форма раскрытия информации</w:t>
      </w:r>
    </w:p>
    <w:p w:rsidR="00285C6F" w:rsidRDefault="00285C6F">
      <w:pPr>
        <w:pStyle w:val="ConsPlusTitle"/>
        <w:jc w:val="center"/>
      </w:pPr>
      <w:r>
        <w:t>о структуре и объемах затрат на оказание услуг по передаче</w:t>
      </w:r>
    </w:p>
    <w:p w:rsidR="00285C6F" w:rsidRDefault="00285C6F">
      <w:pPr>
        <w:pStyle w:val="ConsPlusTitle"/>
        <w:jc w:val="center"/>
      </w:pPr>
      <w:r>
        <w:t>электрической энергии сетевыми организациями, регулирование</w:t>
      </w:r>
    </w:p>
    <w:p w:rsidR="00285C6F" w:rsidRDefault="00285C6F">
      <w:pPr>
        <w:pStyle w:val="ConsPlusTitle"/>
        <w:jc w:val="center"/>
      </w:pPr>
      <w:proofErr w:type="gramStart"/>
      <w:r>
        <w:t>деятельности</w:t>
      </w:r>
      <w:proofErr w:type="gramEnd"/>
      <w:r>
        <w:t xml:space="preserve"> которых осуществляется методом доходности</w:t>
      </w:r>
    </w:p>
    <w:p w:rsidR="00285C6F" w:rsidRDefault="00285C6F">
      <w:pPr>
        <w:pStyle w:val="ConsPlusTitle"/>
        <w:jc w:val="center"/>
      </w:pPr>
      <w:r>
        <w:t>инвестированного капитала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ind w:firstLine="540"/>
        <w:jc w:val="both"/>
      </w:pPr>
      <w:r>
        <w:t>Наименование организации: ___________________________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ИНН: ________________________________________________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КПП: ________________________________________________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Долгосрочный период регулирования: ____ - ____ гг.</w:t>
      </w:r>
    </w:p>
    <w:p w:rsidR="00285C6F" w:rsidRDefault="00285C6F">
      <w:pPr>
        <w:sectPr w:rsidR="00285C6F" w:rsidSect="00285C6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85C6F" w:rsidRDefault="00285C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4654"/>
        <w:gridCol w:w="1147"/>
        <w:gridCol w:w="770"/>
        <w:gridCol w:w="800"/>
        <w:gridCol w:w="1400"/>
      </w:tblGrid>
      <w:tr w:rsidR="00285C6F">
        <w:tc>
          <w:tcPr>
            <w:tcW w:w="992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4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47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70" w:type="dxa"/>
            <w:gridSpan w:val="2"/>
          </w:tcPr>
          <w:p w:rsidR="00285C6F" w:rsidRDefault="00285C6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00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bookmarkStart w:id="2" w:name="P47"/>
            <w:bookmarkEnd w:id="2"/>
            <w:r>
              <w:t xml:space="preserve">Примечание </w:t>
            </w:r>
            <w:hyperlink w:anchor="P36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285C6F">
        <w:tc>
          <w:tcPr>
            <w:tcW w:w="992" w:type="dxa"/>
            <w:vMerge/>
          </w:tcPr>
          <w:p w:rsidR="00285C6F" w:rsidRDefault="00285C6F"/>
        </w:tc>
        <w:tc>
          <w:tcPr>
            <w:tcW w:w="4654" w:type="dxa"/>
            <w:vMerge/>
          </w:tcPr>
          <w:p w:rsidR="00285C6F" w:rsidRDefault="00285C6F"/>
        </w:tc>
        <w:tc>
          <w:tcPr>
            <w:tcW w:w="1147" w:type="dxa"/>
            <w:vMerge/>
          </w:tcPr>
          <w:p w:rsidR="00285C6F" w:rsidRDefault="00285C6F"/>
        </w:tc>
        <w:tc>
          <w:tcPr>
            <w:tcW w:w="770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план </w:t>
            </w:r>
            <w:hyperlink w:anchor="P3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00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факт </w:t>
            </w:r>
            <w:hyperlink w:anchor="P3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00" w:type="dxa"/>
            <w:vMerge/>
          </w:tcPr>
          <w:p w:rsidR="00285C6F" w:rsidRDefault="00285C6F"/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Структура затрат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Необходимая валовая выручка на содержание (далее - НВВ)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Подконтрольные (операционные) расходы, включенные в НВВ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Материальные расходы, всего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в том числе на сырье, материалы, запасные части, инструмент, топливо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bookmarkStart w:id="3" w:name="P80"/>
            <w:bookmarkEnd w:id="3"/>
            <w:r>
              <w:t>1.1.1.2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1.1.1.3.1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Фонд оплаты труда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bookmarkStart w:id="4" w:name="P104"/>
            <w:bookmarkEnd w:id="4"/>
            <w:r>
              <w:t>1.1.2.1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Прочие операционные расходы (с расшифровкой)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bookmarkStart w:id="5" w:name="P116"/>
            <w:bookmarkEnd w:id="5"/>
            <w:r>
              <w:t>1.1.3.1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транспортные услуги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1.1.3.2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 xml:space="preserve">в том числе прочие расходы (с расшифровкой) </w:t>
            </w:r>
            <w:hyperlink w:anchor="P36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Неподконтрольные расходы, включенные в НВВ, всего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Оплата услуг ОАО "ФСК ЕЭС"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Плата за аренду имущества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отчисления на социальные нужды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налог на прибыль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прочие налоги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1.2.7.1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Справочно: "Количество льготных технологических присоединений"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Возврат инвестированного капитала, всего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в том числе размер средств, направляемых на реализацию инвестиционных программ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Доход на инвестированный капитал, всего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размер средств, направляемых на реализацию инвестиционных программ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Изменение необходимой валовой выручки, производимое в целях сглаживания тарифов</w:t>
            </w:r>
            <w:proofErr w:type="gramStart"/>
            <w:r>
              <w:t xml:space="preserve"> (+/-)</w:t>
            </w:r>
            <w:proofErr w:type="gramEnd"/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Корректировки необходимой валовой выручки, учтенные в утвержденных тарифных решениях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Экономия операционных расходов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Экономия от снижения технологических потерь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Справочно: расходы на ремонт, всего (</w:t>
            </w:r>
            <w:hyperlink w:anchor="P80" w:history="1">
              <w:r>
                <w:rPr>
                  <w:color w:val="0000FF"/>
                </w:rPr>
                <w:t>пункт 1.1.1.2</w:t>
              </w:r>
            </w:hyperlink>
            <w:r>
              <w:t xml:space="preserve"> + </w:t>
            </w:r>
            <w:hyperlink w:anchor="P104" w:history="1">
              <w:r>
                <w:rPr>
                  <w:color w:val="0000FF"/>
                </w:rPr>
                <w:t>пункт 1.1.2.1</w:t>
              </w:r>
            </w:hyperlink>
            <w:r>
              <w:t xml:space="preserve"> + </w:t>
            </w:r>
            <w:hyperlink w:anchor="P116" w:history="1">
              <w:r>
                <w:rPr>
                  <w:color w:val="0000FF"/>
                </w:rPr>
                <w:t>пункт 1.1.3.1</w:t>
              </w:r>
            </w:hyperlink>
            <w:r>
              <w:t>)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Объем технологических потерь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Норма доходности на инвестированный капитал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норма доходности на инвестированный капитал, установленная ФСТ России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норма доходности на капитал, инвестированный до начала долгосрочного периода регулирования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общее количество точек подключения на конец года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Трансформаторная мощность подстанций, всего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2.n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трансформаторная мощность подстанций на i уровне напряжения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Количество условных единиц по линиям электропередач, всего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3.n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Количество условных единиц по подстанциям, всего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4.n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Длина линий электропередач, всего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5.n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в том числе длина линий электропередач на i уровне напряжения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Доля кабельных линий электропередач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за счет платы за технологическое присоединение</w:t>
            </w:r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9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54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36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</w:tr>
    </w:tbl>
    <w:p w:rsidR="00285C6F" w:rsidRDefault="00285C6F">
      <w:pPr>
        <w:sectPr w:rsidR="00285C6F" w:rsidSect="00285C6F">
          <w:pgSz w:w="16838" w:h="11905" w:orient="landscape"/>
          <w:pgMar w:top="1134" w:right="1134" w:bottom="1134" w:left="1134" w:header="0" w:footer="0" w:gutter="0"/>
          <w:cols w:space="720"/>
        </w:sectPr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ind w:firstLine="540"/>
        <w:jc w:val="both"/>
      </w:pPr>
      <w:r>
        <w:t>--------------------------------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Примечание: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6" w:name="P365"/>
      <w:bookmarkEnd w:id="6"/>
      <w:r>
        <w:t>&lt;*&gt;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7" w:name="P366"/>
      <w:bookmarkEnd w:id="7"/>
      <w:r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8" w:name="P367"/>
      <w:bookmarkEnd w:id="8"/>
      <w:r>
        <w:t xml:space="preserve">&lt;***&gt; При наличии отклонений фактических значений показателей от плановых значений в </w:t>
      </w:r>
      <w:hyperlink w:anchor="P47" w:history="1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 В отношении показателей, перечисленных в разделе I II </w:t>
      </w:r>
      <w:hyperlink w:anchor="P32" w:history="1">
        <w:r>
          <w:rPr>
            <w:color w:val="0000FF"/>
          </w:rPr>
          <w:t>формы</w:t>
        </w:r>
      </w:hyperlink>
      <w:r>
        <w:t>, причины возникновения отклонений фактических значений показателей от плановых указываются при наличии указанных отклонений в размере, превышающем 15 процентов.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9" w:name="P368"/>
      <w:bookmarkEnd w:id="9"/>
      <w:r>
        <w:t xml:space="preserve">&lt;****&gt; В соответствии с </w:t>
      </w:r>
      <w:hyperlink r:id="rId11" w:history="1">
        <w:r>
          <w:rPr>
            <w:color w:val="0000FF"/>
          </w:rPr>
          <w:t>пунктом 28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10" w:name="P369"/>
      <w:bookmarkEnd w:id="10"/>
      <w:r>
        <w:t xml:space="preserve">&lt;*****&gt; В соответствии с </w:t>
      </w:r>
      <w:hyperlink r:id="rId12" w:history="1">
        <w:r>
          <w:rPr>
            <w:color w:val="0000FF"/>
          </w:rPr>
          <w:t>пунктом 4.2.14.8</w:t>
        </w:r>
      </w:hyperlink>
      <w:r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right"/>
        <w:outlineLvl w:val="0"/>
      </w:pPr>
      <w:r>
        <w:t>Приложение 2</w:t>
      </w:r>
    </w:p>
    <w:p w:rsidR="00285C6F" w:rsidRDefault="00285C6F">
      <w:pPr>
        <w:pStyle w:val="ConsPlusNormal"/>
        <w:jc w:val="right"/>
      </w:pPr>
      <w:r>
        <w:t>к приказу</w:t>
      </w:r>
    </w:p>
    <w:p w:rsidR="00285C6F" w:rsidRDefault="00285C6F">
      <w:pPr>
        <w:pStyle w:val="ConsPlusNormal"/>
        <w:jc w:val="right"/>
      </w:pPr>
      <w:r>
        <w:t>Федеральной службы по тарифам</w:t>
      </w:r>
    </w:p>
    <w:p w:rsidR="00285C6F" w:rsidRDefault="00285C6F">
      <w:pPr>
        <w:pStyle w:val="ConsPlusNormal"/>
        <w:jc w:val="right"/>
      </w:pPr>
      <w:r>
        <w:t>от 24 октября 2014 г. N 1831-э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Title"/>
        <w:jc w:val="center"/>
      </w:pPr>
      <w:r>
        <w:t>Форма раскрытия информации</w:t>
      </w:r>
    </w:p>
    <w:p w:rsidR="00285C6F" w:rsidRDefault="00285C6F">
      <w:pPr>
        <w:pStyle w:val="ConsPlusTitle"/>
        <w:jc w:val="center"/>
      </w:pPr>
      <w:r>
        <w:t>о структуре и объемах затрат на оказание услуг по передаче</w:t>
      </w:r>
    </w:p>
    <w:p w:rsidR="00285C6F" w:rsidRDefault="00285C6F">
      <w:pPr>
        <w:pStyle w:val="ConsPlusTitle"/>
        <w:jc w:val="center"/>
      </w:pPr>
      <w:r>
        <w:t>электрической энергии сетевыми организациями, регулирование</w:t>
      </w:r>
    </w:p>
    <w:p w:rsidR="00285C6F" w:rsidRDefault="00285C6F">
      <w:pPr>
        <w:pStyle w:val="ConsPlusTitle"/>
        <w:jc w:val="center"/>
      </w:pPr>
      <w:proofErr w:type="gramStart"/>
      <w:r>
        <w:t>деятельности</w:t>
      </w:r>
      <w:proofErr w:type="gramEnd"/>
      <w:r>
        <w:t xml:space="preserve"> которых осуществляется методом долгосрочной</w:t>
      </w:r>
    </w:p>
    <w:p w:rsidR="00285C6F" w:rsidRDefault="00285C6F">
      <w:pPr>
        <w:pStyle w:val="ConsPlusTitle"/>
        <w:jc w:val="center"/>
      </w:pPr>
      <w:r>
        <w:t>индексации необходимой валовой выручки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ind w:firstLine="540"/>
        <w:jc w:val="both"/>
      </w:pPr>
      <w:r>
        <w:t>Наименование организации: ___________________________________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ИНН: ________________________________________________________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КПП: ________________________________________________________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Долгосрочный период регулирования: ____ - ____ гг.</w:t>
      </w:r>
    </w:p>
    <w:p w:rsidR="00285C6F" w:rsidRDefault="00285C6F">
      <w:pPr>
        <w:sectPr w:rsidR="00285C6F" w:rsidSect="00285C6F">
          <w:pgSz w:w="11905" w:h="16838"/>
          <w:pgMar w:top="1134" w:right="1134" w:bottom="1134" w:left="1134" w:header="0" w:footer="0" w:gutter="0"/>
          <w:cols w:space="720"/>
        </w:sectPr>
      </w:pPr>
    </w:p>
    <w:p w:rsidR="00285C6F" w:rsidRDefault="00285C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"/>
        <w:gridCol w:w="4627"/>
        <w:gridCol w:w="1133"/>
        <w:gridCol w:w="812"/>
        <w:gridCol w:w="822"/>
        <w:gridCol w:w="1447"/>
      </w:tblGrid>
      <w:tr w:rsidR="00285C6F">
        <w:tc>
          <w:tcPr>
            <w:tcW w:w="1012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7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33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34" w:type="dxa"/>
            <w:gridSpan w:val="2"/>
          </w:tcPr>
          <w:p w:rsidR="00285C6F" w:rsidRDefault="00285C6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47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bookmarkStart w:id="11" w:name="P395"/>
            <w:bookmarkEnd w:id="11"/>
            <w:r>
              <w:t xml:space="preserve">Примечание </w:t>
            </w:r>
            <w:hyperlink w:anchor="P69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285C6F">
        <w:tc>
          <w:tcPr>
            <w:tcW w:w="1012" w:type="dxa"/>
            <w:vMerge/>
          </w:tcPr>
          <w:p w:rsidR="00285C6F" w:rsidRDefault="00285C6F"/>
        </w:tc>
        <w:tc>
          <w:tcPr>
            <w:tcW w:w="4627" w:type="dxa"/>
            <w:vMerge/>
          </w:tcPr>
          <w:p w:rsidR="00285C6F" w:rsidRDefault="00285C6F"/>
        </w:tc>
        <w:tc>
          <w:tcPr>
            <w:tcW w:w="1133" w:type="dxa"/>
            <w:vMerge/>
          </w:tcPr>
          <w:p w:rsidR="00285C6F" w:rsidRDefault="00285C6F"/>
        </w:tc>
        <w:tc>
          <w:tcPr>
            <w:tcW w:w="812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план </w:t>
            </w:r>
            <w:hyperlink w:anchor="P6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2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факт </w:t>
            </w:r>
            <w:hyperlink w:anchor="P6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7" w:type="dxa"/>
            <w:vMerge/>
          </w:tcPr>
          <w:p w:rsidR="00285C6F" w:rsidRDefault="00285C6F"/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Структура затрат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Необходимая валовая выручка на содержание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Подконтрольные расходы, всего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Материальные расходы, всего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на сырье, материалы, запасные части, инструмент, топливо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bookmarkStart w:id="12" w:name="P428"/>
            <w:bookmarkEnd w:id="12"/>
            <w:r>
              <w:t>1.1.1.2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на ремонт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1.1.1.3.1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Фонд оплаты труда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bookmarkStart w:id="13" w:name="P452"/>
            <w:bookmarkEnd w:id="13"/>
            <w:r>
              <w:t>1.1.2.1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Прочие подконтрольные расходы (с расшифровкой)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bookmarkStart w:id="14" w:name="P464"/>
            <w:bookmarkEnd w:id="14"/>
            <w:r>
              <w:t>1.1.3.1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прибыль на социальное развитие (включая социальные выплаты)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транспортные услуги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1.1.3.3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 xml:space="preserve">в том числе прочие расходы (с расшифровкой) </w:t>
            </w:r>
            <w:hyperlink w:anchor="P70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Расходы на обслуживание операционных заемных сре</w:t>
            </w:r>
            <w:proofErr w:type="gramStart"/>
            <w:r>
              <w:t>дств в с</w:t>
            </w:r>
            <w:proofErr w:type="gramEnd"/>
            <w:r>
              <w:t>оставе подконтрольных расходов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Расходы из прибыли в составе подконтрольных расходов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Неподконтрольные расходы, включенные в НВВ, всего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Оплата услуг ОАО "ФСК ЕЭС"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Плата за аренду имущества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отчисления на социальные нужды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ind w:firstLine="58"/>
              <w:jc w:val="both"/>
            </w:pPr>
            <w: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амортизация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прибыль на капитальные вложения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налог на прибыль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прочие налоги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 xml:space="preserve">Расходы сетевой организации, связанные с осуществлением технологического </w:t>
            </w:r>
            <w:r>
              <w:lastRenderedPageBreak/>
              <w:t>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1.2.10.1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Справочно: "Количество льготных технологических присоединений"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1.2.11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1.2.12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прочие неподконтрольные расходы (с расшифровкой)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недополученный по независящим причинам доход</w:t>
            </w:r>
            <w:proofErr w:type="gramStart"/>
            <w:r>
              <w:t xml:space="preserve"> (+)/</w:t>
            </w:r>
            <w:proofErr w:type="gramEnd"/>
            <w:r>
              <w:t>избыток средств, полученный в предыдущем периоде регулирования (-)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Справочно: расходы на ремонт, всего (</w:t>
            </w:r>
            <w:hyperlink w:anchor="P428" w:history="1">
              <w:r>
                <w:rPr>
                  <w:color w:val="0000FF"/>
                </w:rPr>
                <w:t>пункт 1.1.1.2</w:t>
              </w:r>
            </w:hyperlink>
            <w:r>
              <w:t xml:space="preserve"> + </w:t>
            </w:r>
            <w:hyperlink w:anchor="P452" w:history="1">
              <w:r>
                <w:rPr>
                  <w:color w:val="0000FF"/>
                </w:rPr>
                <w:t>пункт 1.1.2.1</w:t>
              </w:r>
            </w:hyperlink>
            <w:r>
              <w:t xml:space="preserve"> + </w:t>
            </w:r>
            <w:hyperlink w:anchor="P464" w:history="1">
              <w:r>
                <w:rPr>
                  <w:color w:val="0000FF"/>
                </w:rPr>
                <w:t>пункт 1.1.3.1</w:t>
              </w:r>
            </w:hyperlink>
            <w:r>
              <w:t>)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Справочно:</w:t>
            </w:r>
          </w:p>
          <w:p w:rsidR="00285C6F" w:rsidRDefault="00285C6F">
            <w:pPr>
              <w:pStyle w:val="ConsPlusNormal"/>
              <w:jc w:val="both"/>
            </w:pPr>
            <w:r>
              <w:t>Объем технологических потерь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Справочно:</w:t>
            </w:r>
          </w:p>
          <w:p w:rsidR="00285C6F" w:rsidRDefault="00285C6F">
            <w:pPr>
              <w:pStyle w:val="ConsPlusNormal"/>
              <w:ind w:firstLine="5"/>
              <w:jc w:val="both"/>
            </w:pPr>
            <w:r>
              <w:t xml:space="preserve">Цена покупки электрической энергии сетевой организацией в целях компенсации </w:t>
            </w:r>
            <w:r>
              <w:lastRenderedPageBreak/>
              <w:t>технологического расхода электрической энергии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IV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общее количество точек подключения на конец года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Трансформаторная мощность подстанций, всего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2.n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в том числе трансформаторная мощность подстанций на i уровне напряжения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Количество условных единиц по линиям электропередач, всего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3.n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Количество условных единиц по подстанциям, всего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4.n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Длина линий электропередач, всего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5.n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в том числе длина линий электропередач на i уровне напряжения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Доля кабельных линий электропередач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за счет платы за технологическое присоединение</w:t>
            </w:r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01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27" w:type="dxa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701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33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</w:tr>
    </w:tbl>
    <w:p w:rsidR="00285C6F" w:rsidRDefault="00285C6F">
      <w:pPr>
        <w:sectPr w:rsidR="00285C6F" w:rsidSect="00285C6F">
          <w:pgSz w:w="16838" w:h="11905" w:orient="landscape"/>
          <w:pgMar w:top="1134" w:right="1134" w:bottom="1134" w:left="1134" w:header="0" w:footer="0" w:gutter="0"/>
          <w:cols w:space="720"/>
        </w:sectPr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ind w:firstLine="540"/>
        <w:jc w:val="both"/>
      </w:pPr>
      <w:r>
        <w:t>--------------------------------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Примечание: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15" w:name="P697"/>
      <w:bookmarkEnd w:id="15"/>
      <w:r>
        <w:t>&lt;*&gt;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16" w:name="P698"/>
      <w:bookmarkEnd w:id="16"/>
      <w:r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17" w:name="P699"/>
      <w:bookmarkEnd w:id="17"/>
      <w:r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395" w:history="1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18" w:name="P700"/>
      <w:bookmarkEnd w:id="18"/>
      <w:r>
        <w:t xml:space="preserve">&lt;****&gt; В соответствии с </w:t>
      </w:r>
      <w:hyperlink r:id="rId13" w:history="1">
        <w:r>
          <w:rPr>
            <w:color w:val="0000FF"/>
          </w:rPr>
          <w:t>пунктом 28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19" w:name="P701"/>
      <w:bookmarkEnd w:id="19"/>
      <w:r>
        <w:t xml:space="preserve">&lt;*****&gt; В соответствии с </w:t>
      </w:r>
      <w:hyperlink r:id="rId14" w:history="1">
        <w:r>
          <w:rPr>
            <w:color w:val="0000FF"/>
          </w:rPr>
          <w:t>пунктом 4.2.14.8</w:t>
        </w:r>
      </w:hyperlink>
      <w:r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right"/>
        <w:outlineLvl w:val="0"/>
      </w:pPr>
      <w:r>
        <w:t>Приложение 3</w:t>
      </w:r>
    </w:p>
    <w:p w:rsidR="00285C6F" w:rsidRDefault="00285C6F">
      <w:pPr>
        <w:pStyle w:val="ConsPlusNormal"/>
        <w:jc w:val="right"/>
      </w:pPr>
      <w:r>
        <w:t>к приказу</w:t>
      </w:r>
    </w:p>
    <w:p w:rsidR="00285C6F" w:rsidRDefault="00285C6F">
      <w:pPr>
        <w:pStyle w:val="ConsPlusNormal"/>
        <w:jc w:val="right"/>
      </w:pPr>
      <w:r>
        <w:t>Федеральной службы по тарифам</w:t>
      </w:r>
    </w:p>
    <w:p w:rsidR="00285C6F" w:rsidRDefault="00285C6F">
      <w:pPr>
        <w:pStyle w:val="ConsPlusNormal"/>
        <w:jc w:val="right"/>
      </w:pPr>
      <w:r>
        <w:t>от 24 октября 2014 г. N 1831-э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Title"/>
        <w:jc w:val="center"/>
      </w:pPr>
      <w:r>
        <w:t>Форма раскрытия информации</w:t>
      </w:r>
    </w:p>
    <w:p w:rsidR="00285C6F" w:rsidRDefault="00285C6F">
      <w:pPr>
        <w:pStyle w:val="ConsPlusTitle"/>
        <w:jc w:val="center"/>
      </w:pPr>
      <w:r>
        <w:t>о структуре и объемах затрат на оказание услуг по передаче</w:t>
      </w:r>
    </w:p>
    <w:p w:rsidR="00285C6F" w:rsidRDefault="00285C6F">
      <w:pPr>
        <w:pStyle w:val="ConsPlusTitle"/>
        <w:jc w:val="center"/>
      </w:pPr>
      <w:r>
        <w:t>электрической энергии сетевыми организациями, регулирование</w:t>
      </w:r>
    </w:p>
    <w:p w:rsidR="00285C6F" w:rsidRDefault="00285C6F">
      <w:pPr>
        <w:pStyle w:val="ConsPlusTitle"/>
        <w:jc w:val="center"/>
      </w:pPr>
      <w:proofErr w:type="gramStart"/>
      <w:r>
        <w:t>деятельности</w:t>
      </w:r>
      <w:proofErr w:type="gramEnd"/>
      <w:r>
        <w:t xml:space="preserve"> которых осуществляется методом экономически</w:t>
      </w:r>
    </w:p>
    <w:p w:rsidR="00285C6F" w:rsidRDefault="00285C6F">
      <w:pPr>
        <w:pStyle w:val="ConsPlusTitle"/>
        <w:jc w:val="center"/>
      </w:pPr>
      <w:r>
        <w:t>обоснованных расходов (затрат)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ind w:firstLine="540"/>
        <w:jc w:val="both"/>
      </w:pPr>
      <w:r>
        <w:t>Наименование организации _____________________________________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ИНН: ______________________________________________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КПП: ______________________________________________</w:t>
      </w:r>
    </w:p>
    <w:p w:rsidR="00285C6F" w:rsidRDefault="00285C6F">
      <w:pPr>
        <w:sectPr w:rsidR="00285C6F" w:rsidSect="00285C6F">
          <w:pgSz w:w="11905" w:h="16838"/>
          <w:pgMar w:top="1134" w:right="1134" w:bottom="1134" w:left="1134" w:header="0" w:footer="0" w:gutter="0"/>
          <w:cols w:space="720"/>
        </w:sectPr>
      </w:pPr>
    </w:p>
    <w:p w:rsidR="00285C6F" w:rsidRDefault="00285C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4746"/>
        <w:gridCol w:w="1091"/>
        <w:gridCol w:w="707"/>
        <w:gridCol w:w="700"/>
        <w:gridCol w:w="1418"/>
      </w:tblGrid>
      <w:tr w:rsidR="00285C6F">
        <w:tc>
          <w:tcPr>
            <w:tcW w:w="977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46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91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07" w:type="dxa"/>
            <w:gridSpan w:val="2"/>
          </w:tcPr>
          <w:p w:rsidR="00285C6F" w:rsidRDefault="00285C6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8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bookmarkStart w:id="20" w:name="P726"/>
            <w:bookmarkEnd w:id="20"/>
            <w:r>
              <w:t xml:space="preserve">Примечание </w:t>
            </w:r>
            <w:hyperlink w:anchor="P10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285C6F">
        <w:tc>
          <w:tcPr>
            <w:tcW w:w="977" w:type="dxa"/>
            <w:vMerge/>
          </w:tcPr>
          <w:p w:rsidR="00285C6F" w:rsidRDefault="00285C6F"/>
        </w:tc>
        <w:tc>
          <w:tcPr>
            <w:tcW w:w="4746" w:type="dxa"/>
            <w:vMerge/>
          </w:tcPr>
          <w:p w:rsidR="00285C6F" w:rsidRDefault="00285C6F"/>
        </w:tc>
        <w:tc>
          <w:tcPr>
            <w:tcW w:w="1091" w:type="dxa"/>
            <w:vMerge/>
          </w:tcPr>
          <w:p w:rsidR="00285C6F" w:rsidRDefault="00285C6F"/>
        </w:tc>
        <w:tc>
          <w:tcPr>
            <w:tcW w:w="707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план </w:t>
            </w:r>
            <w:hyperlink w:anchor="P10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0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факт </w:t>
            </w:r>
            <w:hyperlink w:anchor="P10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8" w:type="dxa"/>
            <w:vMerge/>
          </w:tcPr>
          <w:p w:rsidR="00285C6F" w:rsidRDefault="00285C6F"/>
        </w:tc>
      </w:tr>
      <w:tr w:rsidR="00285C6F">
        <w:tc>
          <w:tcPr>
            <w:tcW w:w="977" w:type="dxa"/>
          </w:tcPr>
          <w:p w:rsidR="00285C6F" w:rsidRDefault="00285C6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Структура затрат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Необходимая валовая выручка на содержание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Себестоимость, всего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Материальные расходы, всего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на сырье, материалы, запасные части, инструмент, топливо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bookmarkStart w:id="21" w:name="P759"/>
            <w:bookmarkEnd w:id="21"/>
            <w:r>
              <w:t>1.1.1.2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на ремонт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1.1.1.3.1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Фонд оплаты труда и отчисления на социальные нужды, всего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bookmarkStart w:id="22" w:name="P783"/>
            <w:bookmarkEnd w:id="22"/>
            <w:r>
              <w:t>1.1.2.1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Амортизационные отчисления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bookmarkStart w:id="23" w:name="P801"/>
            <w:bookmarkEnd w:id="23"/>
            <w:r>
              <w:t>1.1.4.1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Плата за аренду имущества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налоги, пошлины и сборы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1.1.4.3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Расходы на обслуживание операционных заемных средств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bookmarkStart w:id="24" w:name="P819"/>
            <w:bookmarkEnd w:id="24"/>
            <w:r>
              <w:t>1.1.4.4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ind w:firstLine="53"/>
              <w:jc w:val="both"/>
            </w:pPr>
            <w:r>
              <w:t>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1.1.4.5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 xml:space="preserve">прочие расходы (с расшифровкой) </w:t>
            </w:r>
            <w:hyperlink w:anchor="P10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Прибыль до налогообложения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Налог на прибыль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Чистая прибыль, всего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прибыль на капитальные вложения (инвестиции)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прибыль на возврат инвестиционных кредитов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1.2.2.3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в том числе дивиденды по акциям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1.2.2.4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в том числе прочие расходы из прибыли (с расшифровкой)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Недополученный по независящим причинам доход</w:t>
            </w:r>
            <w:proofErr w:type="gramStart"/>
            <w:r>
              <w:t xml:space="preserve"> (+)/</w:t>
            </w:r>
            <w:proofErr w:type="gramEnd"/>
            <w:r>
              <w:t>избыток средств, полученный в предыдущем периоде регулирования (-)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 xml:space="preserve">в том числе расходы сетевой организации, связанные с осуществлением технологического присоединения к электрическим сетям, не </w:t>
            </w:r>
            <w:r>
              <w:lastRenderedPageBreak/>
              <w:t>включенные в плату за технологическое присоединение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1.4.1.1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Справочно: "Количество льготных технологических присоединений"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ind w:firstLine="14"/>
              <w:jc w:val="both"/>
            </w:pPr>
            <w: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Справочно: расходы на ремонт, всего (</w:t>
            </w:r>
            <w:hyperlink w:anchor="P759" w:history="1">
              <w:r>
                <w:rPr>
                  <w:color w:val="0000FF"/>
                </w:rPr>
                <w:t>пункт 1.1.1.2</w:t>
              </w:r>
            </w:hyperlink>
            <w:r>
              <w:t xml:space="preserve"> + </w:t>
            </w:r>
            <w:hyperlink w:anchor="P783" w:history="1">
              <w:r>
                <w:rPr>
                  <w:color w:val="0000FF"/>
                </w:rPr>
                <w:t>пункт 1.1.2.1</w:t>
              </w:r>
            </w:hyperlink>
            <w:r>
              <w:t xml:space="preserve"> + пункт 1.1.3.1)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Справочно:</w:t>
            </w:r>
          </w:p>
          <w:p w:rsidR="00285C6F" w:rsidRDefault="00285C6F">
            <w:pPr>
              <w:pStyle w:val="ConsPlusNormal"/>
              <w:jc w:val="both"/>
            </w:pPr>
            <w:r>
              <w:t>Объем технологических потерь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proofErr w:type="spellStart"/>
            <w:r>
              <w:t>МВт·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Справочно:</w:t>
            </w:r>
          </w:p>
          <w:p w:rsidR="00285C6F" w:rsidRDefault="00285C6F">
            <w:pPr>
              <w:pStyle w:val="ConsPlusNormal"/>
              <w:jc w:val="both"/>
            </w:pPr>
            <w: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общее количество точек подключения на конец года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Трансформаторная мощность подстанций, всего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2.n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в том числе трансформаторная мощность подстанций на i уровне напряжения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Количество условных единиц по линиям электропередач, всего, в том числе: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3.n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Количество условных единиц по подстанциям, всего, в том числе: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4.n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Длина линий электропередач, всего, в том числе: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5.n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в том числе длина линий электропередач на i уровне напряжения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jc w:val="both"/>
            </w:pPr>
            <w:r>
              <w:t>Доля кабельных линий электропередач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Ввод в эксплуатацию новых объектов электросетевого комплекса на конец года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в том числе за счет платы за технологическое присоединение</w:t>
            </w:r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97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46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10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91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7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</w:tr>
    </w:tbl>
    <w:p w:rsidR="00285C6F" w:rsidRDefault="00285C6F">
      <w:pPr>
        <w:sectPr w:rsidR="00285C6F" w:rsidSect="00285C6F">
          <w:pgSz w:w="16838" w:h="11905" w:orient="landscape"/>
          <w:pgMar w:top="1134" w:right="1134" w:bottom="1134" w:left="1134" w:header="0" w:footer="0" w:gutter="0"/>
          <w:cols w:space="720"/>
        </w:sectPr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ind w:firstLine="540"/>
        <w:jc w:val="both"/>
      </w:pPr>
      <w:r>
        <w:t>--------------------------------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Примечание: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25" w:name="P1016"/>
      <w:bookmarkEnd w:id="25"/>
      <w:r>
        <w:t>&lt;*&gt;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26" w:name="P1017"/>
      <w:bookmarkEnd w:id="26"/>
      <w:r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27" w:name="P1018"/>
      <w:bookmarkEnd w:id="27"/>
      <w:r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726" w:history="1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28" w:name="P1019"/>
      <w:bookmarkEnd w:id="28"/>
      <w:r>
        <w:t xml:space="preserve">&lt;****&gt; В соответствии с </w:t>
      </w:r>
      <w:hyperlink r:id="rId15" w:history="1">
        <w:r>
          <w:rPr>
            <w:color w:val="0000FF"/>
          </w:rPr>
          <w:t>пунктом 28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1178, за исключением </w:t>
      </w:r>
      <w:hyperlink w:anchor="P801" w:history="1">
        <w:r>
          <w:rPr>
            <w:color w:val="0000FF"/>
          </w:rPr>
          <w:t>подпунктов 1.1.4.1</w:t>
        </w:r>
      </w:hyperlink>
      <w:r>
        <w:t xml:space="preserve"> - </w:t>
      </w:r>
      <w:hyperlink w:anchor="P819" w:history="1">
        <w:r>
          <w:rPr>
            <w:color w:val="0000FF"/>
          </w:rPr>
          <w:t>1.1.4.4</w:t>
        </w:r>
      </w:hyperlink>
      <w:r>
        <w:t>.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29" w:name="P1020"/>
      <w:bookmarkEnd w:id="29"/>
      <w:r>
        <w:t xml:space="preserve">&lt;*****&gt; В соответствии с </w:t>
      </w:r>
      <w:hyperlink r:id="rId16" w:history="1">
        <w:r>
          <w:rPr>
            <w:color w:val="0000FF"/>
          </w:rPr>
          <w:t>пунктом 4.2.14.8</w:t>
        </w:r>
      </w:hyperlink>
      <w:r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right"/>
        <w:outlineLvl w:val="0"/>
      </w:pPr>
      <w:r>
        <w:t>Приложение 4</w:t>
      </w:r>
    </w:p>
    <w:p w:rsidR="00285C6F" w:rsidRDefault="00285C6F">
      <w:pPr>
        <w:pStyle w:val="ConsPlusNormal"/>
        <w:jc w:val="right"/>
      </w:pPr>
      <w:r>
        <w:t>к приказу</w:t>
      </w:r>
    </w:p>
    <w:p w:rsidR="00285C6F" w:rsidRDefault="00285C6F">
      <w:pPr>
        <w:pStyle w:val="ConsPlusNormal"/>
        <w:jc w:val="right"/>
      </w:pPr>
      <w:r>
        <w:t>Федеральной службы по тарифам</w:t>
      </w:r>
    </w:p>
    <w:p w:rsidR="00285C6F" w:rsidRDefault="00285C6F">
      <w:pPr>
        <w:pStyle w:val="ConsPlusNormal"/>
        <w:jc w:val="right"/>
      </w:pPr>
      <w:r>
        <w:t>от 24 октября 2014 г. N 1831-э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Title"/>
        <w:jc w:val="center"/>
      </w:pPr>
      <w:r>
        <w:t>Форма раскрытия информации</w:t>
      </w:r>
    </w:p>
    <w:p w:rsidR="00285C6F" w:rsidRDefault="00285C6F">
      <w:pPr>
        <w:pStyle w:val="ConsPlusTitle"/>
        <w:jc w:val="center"/>
      </w:pPr>
      <w:r>
        <w:t xml:space="preserve">о движении активов, </w:t>
      </w:r>
      <w:proofErr w:type="gramStart"/>
      <w:r>
        <w:t>включающий</w:t>
      </w:r>
      <w:proofErr w:type="gramEnd"/>
      <w:r>
        <w:t xml:space="preserve"> балансовую стоимость активов</w:t>
      </w:r>
    </w:p>
    <w:p w:rsidR="00285C6F" w:rsidRDefault="00285C6F">
      <w:pPr>
        <w:pStyle w:val="ConsPlusTitle"/>
        <w:jc w:val="center"/>
      </w:pPr>
      <w:r>
        <w:t>на начало года, балансовую стоимость активов на конец года,</w:t>
      </w:r>
    </w:p>
    <w:p w:rsidR="00285C6F" w:rsidRDefault="00285C6F">
      <w:pPr>
        <w:pStyle w:val="ConsPlusTitle"/>
        <w:jc w:val="center"/>
      </w:pPr>
      <w:r>
        <w:t>а также информацию о выбытии активов в течение года,</w:t>
      </w:r>
    </w:p>
    <w:p w:rsidR="00285C6F" w:rsidRDefault="00285C6F">
      <w:pPr>
        <w:pStyle w:val="ConsPlusTitle"/>
        <w:jc w:val="center"/>
      </w:pPr>
      <w:r>
        <w:t>о вводе активов в течение года, в том числе за счет</w:t>
      </w:r>
    </w:p>
    <w:p w:rsidR="00285C6F" w:rsidRDefault="00285C6F">
      <w:pPr>
        <w:pStyle w:val="ConsPlusTitle"/>
        <w:jc w:val="center"/>
      </w:pPr>
      <w:r>
        <w:t>переоценки, модернизации, реконструкции, строительства</w:t>
      </w:r>
    </w:p>
    <w:p w:rsidR="00285C6F" w:rsidRDefault="00285C6F">
      <w:pPr>
        <w:pStyle w:val="ConsPlusTitle"/>
        <w:jc w:val="center"/>
      </w:pPr>
      <w:r>
        <w:t>и приобретения нового оборудования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ind w:firstLine="540"/>
        <w:jc w:val="both"/>
      </w:pPr>
      <w:r>
        <w:t>Наименование организации __________________________________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ИНН: _________________________________________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КПП: _________________________________________</w:t>
      </w:r>
    </w:p>
    <w:p w:rsidR="00285C6F" w:rsidRDefault="00285C6F">
      <w:pPr>
        <w:sectPr w:rsidR="00285C6F" w:rsidSect="00285C6F">
          <w:pgSz w:w="11905" w:h="16838"/>
          <w:pgMar w:top="1134" w:right="1134" w:bottom="1134" w:left="1134" w:header="0" w:footer="0" w:gutter="0"/>
          <w:cols w:space="720"/>
        </w:sectPr>
      </w:pPr>
    </w:p>
    <w:p w:rsidR="00285C6F" w:rsidRDefault="00285C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4958"/>
        <w:gridCol w:w="1134"/>
        <w:gridCol w:w="608"/>
        <w:gridCol w:w="749"/>
        <w:gridCol w:w="1418"/>
      </w:tblGrid>
      <w:tr w:rsidR="00285C6F">
        <w:tc>
          <w:tcPr>
            <w:tcW w:w="772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58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34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57" w:type="dxa"/>
            <w:gridSpan w:val="2"/>
          </w:tcPr>
          <w:p w:rsidR="00285C6F" w:rsidRDefault="00285C6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8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bookmarkStart w:id="30" w:name="P1047"/>
            <w:bookmarkEnd w:id="30"/>
            <w:r>
              <w:t xml:space="preserve">Примечание </w:t>
            </w:r>
            <w:hyperlink w:anchor="P1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85C6F">
        <w:tc>
          <w:tcPr>
            <w:tcW w:w="772" w:type="dxa"/>
            <w:vMerge/>
          </w:tcPr>
          <w:p w:rsidR="00285C6F" w:rsidRDefault="00285C6F"/>
        </w:tc>
        <w:tc>
          <w:tcPr>
            <w:tcW w:w="4958" w:type="dxa"/>
            <w:vMerge/>
          </w:tcPr>
          <w:p w:rsidR="00285C6F" w:rsidRDefault="00285C6F"/>
        </w:tc>
        <w:tc>
          <w:tcPr>
            <w:tcW w:w="1134" w:type="dxa"/>
            <w:vMerge/>
          </w:tcPr>
          <w:p w:rsidR="00285C6F" w:rsidRDefault="00285C6F"/>
        </w:tc>
        <w:tc>
          <w:tcPr>
            <w:tcW w:w="608" w:type="dxa"/>
          </w:tcPr>
          <w:p w:rsidR="00285C6F" w:rsidRDefault="00285C6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49" w:type="dxa"/>
          </w:tcPr>
          <w:p w:rsidR="00285C6F" w:rsidRDefault="00285C6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418" w:type="dxa"/>
            <w:vMerge/>
          </w:tcPr>
          <w:p w:rsidR="00285C6F" w:rsidRDefault="00285C6F"/>
        </w:tc>
      </w:tr>
      <w:tr w:rsidR="00285C6F">
        <w:tc>
          <w:tcPr>
            <w:tcW w:w="772" w:type="dxa"/>
          </w:tcPr>
          <w:p w:rsidR="00285C6F" w:rsidRDefault="00285C6F">
            <w:pPr>
              <w:pStyle w:val="ConsPlusNormal"/>
              <w:ind w:left="110"/>
              <w:jc w:val="both"/>
            </w:pPr>
            <w:r>
              <w:t>1.</w:t>
            </w:r>
          </w:p>
        </w:tc>
        <w:tc>
          <w:tcPr>
            <w:tcW w:w="4958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Остаточная балансовая стоимость активов на начало года долгосрочного периода регулирования</w:t>
            </w:r>
          </w:p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  <w:vMerge w:val="restart"/>
          </w:tcPr>
          <w:p w:rsidR="00285C6F" w:rsidRDefault="00285C6F">
            <w:pPr>
              <w:pStyle w:val="ConsPlusNormal"/>
              <w:ind w:left="86"/>
              <w:jc w:val="both"/>
            </w:pPr>
            <w:r>
              <w:t>2.</w:t>
            </w:r>
          </w:p>
        </w:tc>
        <w:tc>
          <w:tcPr>
            <w:tcW w:w="4958" w:type="dxa"/>
            <w:vMerge w:val="restart"/>
          </w:tcPr>
          <w:p w:rsidR="00285C6F" w:rsidRDefault="00285C6F">
            <w:pPr>
              <w:pStyle w:val="ConsPlusNormal"/>
            </w:pPr>
            <w:r>
              <w:t>Ввод активов (основных средств), всего</w:t>
            </w:r>
          </w:p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  <w:vMerge/>
          </w:tcPr>
          <w:p w:rsidR="00285C6F" w:rsidRDefault="00285C6F"/>
        </w:tc>
        <w:tc>
          <w:tcPr>
            <w:tcW w:w="4958" w:type="dxa"/>
            <w:vMerge/>
          </w:tcPr>
          <w:p w:rsidR="00285C6F" w:rsidRDefault="00285C6F"/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  <w:vMerge/>
          </w:tcPr>
          <w:p w:rsidR="00285C6F" w:rsidRDefault="00285C6F"/>
        </w:tc>
        <w:tc>
          <w:tcPr>
            <w:tcW w:w="4958" w:type="dxa"/>
            <w:vMerge/>
          </w:tcPr>
          <w:p w:rsidR="00285C6F" w:rsidRDefault="00285C6F"/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</w:tcPr>
          <w:p w:rsidR="00285C6F" w:rsidRDefault="00285C6F">
            <w:pPr>
              <w:pStyle w:val="ConsPlusNormal"/>
              <w:ind w:left="24"/>
              <w:jc w:val="both"/>
            </w:pPr>
            <w:r>
              <w:t>2.1.</w:t>
            </w:r>
          </w:p>
        </w:tc>
        <w:tc>
          <w:tcPr>
            <w:tcW w:w="4958" w:type="dxa"/>
          </w:tcPr>
          <w:p w:rsidR="00285C6F" w:rsidRDefault="00285C6F">
            <w:pPr>
              <w:pStyle w:val="ConsPlusNormal"/>
            </w:pPr>
            <w:r>
              <w:t>Увеличение стоимости активов (основных средств) за счет переоценки</w:t>
            </w:r>
          </w:p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  <w:vMerge w:val="restart"/>
          </w:tcPr>
          <w:p w:rsidR="00285C6F" w:rsidRDefault="00285C6F">
            <w:pPr>
              <w:pStyle w:val="ConsPlusNormal"/>
              <w:ind w:left="19"/>
              <w:jc w:val="both"/>
            </w:pPr>
            <w:r>
              <w:t>2.2.</w:t>
            </w:r>
          </w:p>
        </w:tc>
        <w:tc>
          <w:tcPr>
            <w:tcW w:w="4958" w:type="dxa"/>
            <w:vMerge w:val="restart"/>
          </w:tcPr>
          <w:p w:rsidR="00285C6F" w:rsidRDefault="00285C6F">
            <w:pPr>
              <w:pStyle w:val="ConsPlusNormal"/>
            </w:pPr>
            <w:r>
              <w:t>Ввод активов (основных средств) за год</w:t>
            </w:r>
          </w:p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  <w:vMerge/>
          </w:tcPr>
          <w:p w:rsidR="00285C6F" w:rsidRDefault="00285C6F"/>
        </w:tc>
        <w:tc>
          <w:tcPr>
            <w:tcW w:w="4958" w:type="dxa"/>
            <w:vMerge/>
          </w:tcPr>
          <w:p w:rsidR="00285C6F" w:rsidRDefault="00285C6F"/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  <w:vMerge/>
          </w:tcPr>
          <w:p w:rsidR="00285C6F" w:rsidRDefault="00285C6F"/>
        </w:tc>
        <w:tc>
          <w:tcPr>
            <w:tcW w:w="4958" w:type="dxa"/>
            <w:vMerge/>
          </w:tcPr>
          <w:p w:rsidR="00285C6F" w:rsidRDefault="00285C6F"/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  <w:vMerge w:val="restart"/>
          </w:tcPr>
          <w:p w:rsidR="00285C6F" w:rsidRDefault="00285C6F">
            <w:pPr>
              <w:pStyle w:val="ConsPlusNormal"/>
            </w:pPr>
            <w:r>
              <w:t>2.2.1.</w:t>
            </w:r>
          </w:p>
        </w:tc>
        <w:tc>
          <w:tcPr>
            <w:tcW w:w="4958" w:type="dxa"/>
            <w:vMerge w:val="restart"/>
          </w:tcPr>
          <w:p w:rsidR="00285C6F" w:rsidRDefault="00285C6F">
            <w:pPr>
              <w:pStyle w:val="ConsPlusNormal"/>
            </w:pPr>
            <w:r>
              <w:t>в том числе модернизация и реконструкция</w:t>
            </w:r>
          </w:p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  <w:vMerge/>
          </w:tcPr>
          <w:p w:rsidR="00285C6F" w:rsidRDefault="00285C6F"/>
        </w:tc>
        <w:tc>
          <w:tcPr>
            <w:tcW w:w="4958" w:type="dxa"/>
            <w:vMerge/>
          </w:tcPr>
          <w:p w:rsidR="00285C6F" w:rsidRDefault="00285C6F"/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  <w:vMerge/>
          </w:tcPr>
          <w:p w:rsidR="00285C6F" w:rsidRDefault="00285C6F"/>
        </w:tc>
        <w:tc>
          <w:tcPr>
            <w:tcW w:w="4958" w:type="dxa"/>
            <w:vMerge/>
          </w:tcPr>
          <w:p w:rsidR="00285C6F" w:rsidRDefault="00285C6F"/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  <w:vMerge w:val="restart"/>
          </w:tcPr>
          <w:p w:rsidR="00285C6F" w:rsidRDefault="00285C6F">
            <w:pPr>
              <w:pStyle w:val="ConsPlusNormal"/>
            </w:pPr>
            <w:r>
              <w:t>2.2.2.</w:t>
            </w:r>
          </w:p>
        </w:tc>
        <w:tc>
          <w:tcPr>
            <w:tcW w:w="4958" w:type="dxa"/>
            <w:vMerge w:val="restart"/>
          </w:tcPr>
          <w:p w:rsidR="00285C6F" w:rsidRDefault="00285C6F">
            <w:pPr>
              <w:pStyle w:val="ConsPlusNormal"/>
            </w:pPr>
            <w:r>
              <w:t>в том числе новое строительство</w:t>
            </w:r>
          </w:p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  <w:vMerge/>
          </w:tcPr>
          <w:p w:rsidR="00285C6F" w:rsidRDefault="00285C6F"/>
        </w:tc>
        <w:tc>
          <w:tcPr>
            <w:tcW w:w="4958" w:type="dxa"/>
            <w:vMerge/>
          </w:tcPr>
          <w:p w:rsidR="00285C6F" w:rsidRDefault="00285C6F"/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  <w:vMerge/>
          </w:tcPr>
          <w:p w:rsidR="00285C6F" w:rsidRDefault="00285C6F"/>
        </w:tc>
        <w:tc>
          <w:tcPr>
            <w:tcW w:w="4958" w:type="dxa"/>
            <w:vMerge/>
          </w:tcPr>
          <w:p w:rsidR="00285C6F" w:rsidRDefault="00285C6F"/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  <w:vMerge w:val="restart"/>
          </w:tcPr>
          <w:p w:rsidR="00285C6F" w:rsidRDefault="00285C6F">
            <w:pPr>
              <w:pStyle w:val="ConsPlusNormal"/>
            </w:pPr>
            <w:r>
              <w:t>2.2.3.</w:t>
            </w:r>
          </w:p>
        </w:tc>
        <w:tc>
          <w:tcPr>
            <w:tcW w:w="4958" w:type="dxa"/>
            <w:vMerge w:val="restart"/>
          </w:tcPr>
          <w:p w:rsidR="00285C6F" w:rsidRDefault="00285C6F">
            <w:pPr>
              <w:pStyle w:val="ConsPlusNormal"/>
            </w:pPr>
            <w:r>
              <w:t xml:space="preserve">Прочее, в том числе приобретение нового </w:t>
            </w:r>
            <w:r>
              <w:lastRenderedPageBreak/>
              <w:t>оборудования</w:t>
            </w:r>
          </w:p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  <w:vMerge/>
          </w:tcPr>
          <w:p w:rsidR="00285C6F" w:rsidRDefault="00285C6F"/>
        </w:tc>
        <w:tc>
          <w:tcPr>
            <w:tcW w:w="4958" w:type="dxa"/>
            <w:vMerge/>
          </w:tcPr>
          <w:p w:rsidR="00285C6F" w:rsidRDefault="00285C6F"/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  <w:vMerge/>
          </w:tcPr>
          <w:p w:rsidR="00285C6F" w:rsidRDefault="00285C6F"/>
        </w:tc>
        <w:tc>
          <w:tcPr>
            <w:tcW w:w="4958" w:type="dxa"/>
            <w:vMerge/>
          </w:tcPr>
          <w:p w:rsidR="00285C6F" w:rsidRDefault="00285C6F"/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  <w:vMerge w:val="restart"/>
          </w:tcPr>
          <w:p w:rsidR="00285C6F" w:rsidRDefault="00285C6F">
            <w:pPr>
              <w:pStyle w:val="ConsPlusNormal"/>
              <w:ind w:left="58"/>
              <w:jc w:val="both"/>
            </w:pPr>
            <w:r>
              <w:t>3.</w:t>
            </w:r>
          </w:p>
        </w:tc>
        <w:tc>
          <w:tcPr>
            <w:tcW w:w="4958" w:type="dxa"/>
            <w:vMerge w:val="restart"/>
          </w:tcPr>
          <w:p w:rsidR="00285C6F" w:rsidRDefault="00285C6F">
            <w:pPr>
              <w:pStyle w:val="ConsPlusNormal"/>
            </w:pPr>
            <w:r>
              <w:t>Выбытие активов (основных средств)</w:t>
            </w:r>
          </w:p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  <w:vMerge/>
          </w:tcPr>
          <w:p w:rsidR="00285C6F" w:rsidRDefault="00285C6F"/>
        </w:tc>
        <w:tc>
          <w:tcPr>
            <w:tcW w:w="4958" w:type="dxa"/>
            <w:vMerge/>
          </w:tcPr>
          <w:p w:rsidR="00285C6F" w:rsidRDefault="00285C6F"/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  <w:vMerge/>
          </w:tcPr>
          <w:p w:rsidR="00285C6F" w:rsidRDefault="00285C6F"/>
        </w:tc>
        <w:tc>
          <w:tcPr>
            <w:tcW w:w="4958" w:type="dxa"/>
            <w:vMerge/>
          </w:tcPr>
          <w:p w:rsidR="00285C6F" w:rsidRDefault="00285C6F"/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72" w:type="dxa"/>
          </w:tcPr>
          <w:p w:rsidR="00285C6F" w:rsidRDefault="00285C6F">
            <w:pPr>
              <w:pStyle w:val="ConsPlusNormal"/>
              <w:ind w:left="53"/>
              <w:jc w:val="both"/>
            </w:pPr>
            <w:r>
              <w:t>4.</w:t>
            </w:r>
          </w:p>
        </w:tc>
        <w:tc>
          <w:tcPr>
            <w:tcW w:w="4958" w:type="dxa"/>
          </w:tcPr>
          <w:p w:rsidR="00285C6F" w:rsidRDefault="00285C6F">
            <w:pPr>
              <w:pStyle w:val="ConsPlusNormal"/>
            </w:pPr>
            <w:r>
              <w:t>Остаточная балансовая стоимость активов на конец года долгосрочного периода регулирования</w:t>
            </w:r>
          </w:p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08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</w:tr>
    </w:tbl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ind w:firstLine="540"/>
        <w:jc w:val="both"/>
      </w:pPr>
      <w:r>
        <w:t>--------------------------------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Примечание: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31" w:name="P1155"/>
      <w:bookmarkEnd w:id="31"/>
      <w:r>
        <w:t xml:space="preserve">&lt;*&gt; При наличии отклонений фактических значений показателей от плановых значений более чем на 15 процентов в </w:t>
      </w:r>
      <w:hyperlink w:anchor="P1047" w:history="1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right"/>
        <w:outlineLvl w:val="0"/>
      </w:pPr>
      <w:r>
        <w:t>Приложение 5</w:t>
      </w:r>
    </w:p>
    <w:p w:rsidR="00285C6F" w:rsidRDefault="00285C6F">
      <w:pPr>
        <w:pStyle w:val="ConsPlusNormal"/>
        <w:jc w:val="right"/>
      </w:pPr>
      <w:r>
        <w:t>к приказу</w:t>
      </w:r>
    </w:p>
    <w:p w:rsidR="00285C6F" w:rsidRDefault="00285C6F">
      <w:pPr>
        <w:pStyle w:val="ConsPlusNormal"/>
        <w:jc w:val="right"/>
      </w:pPr>
      <w:r>
        <w:t>Федеральной службы по тарифам</w:t>
      </w:r>
    </w:p>
    <w:p w:rsidR="00285C6F" w:rsidRDefault="00285C6F">
      <w:pPr>
        <w:pStyle w:val="ConsPlusNormal"/>
        <w:jc w:val="right"/>
      </w:pPr>
      <w:r>
        <w:t>от 24 октября 2014 г. N 1831-э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Title"/>
        <w:jc w:val="center"/>
      </w:pPr>
      <w:bookmarkStart w:id="32" w:name="P1166"/>
      <w:bookmarkEnd w:id="32"/>
      <w:r>
        <w:t>Форма раскрытия информации</w:t>
      </w:r>
    </w:p>
    <w:p w:rsidR="00285C6F" w:rsidRDefault="00285C6F">
      <w:pPr>
        <w:pStyle w:val="ConsPlusTitle"/>
        <w:jc w:val="center"/>
      </w:pPr>
      <w:r>
        <w:t>субъектами рынков электрической энергии и мощности,</w:t>
      </w:r>
    </w:p>
    <w:p w:rsidR="00285C6F" w:rsidRDefault="00285C6F">
      <w:pPr>
        <w:pStyle w:val="ConsPlusTitle"/>
        <w:jc w:val="center"/>
      </w:pPr>
      <w:r>
        <w:t xml:space="preserve">являющимися субъектами естественных монополий </w:t>
      </w:r>
      <w:hyperlink w:anchor="P1523" w:history="1">
        <w:r>
          <w:rPr>
            <w:color w:val="0000FF"/>
          </w:rPr>
          <w:t>&lt;*&gt;</w:t>
        </w:r>
      </w:hyperlink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ind w:firstLine="540"/>
        <w:jc w:val="both"/>
      </w:pPr>
      <w:r>
        <w:t>Наименование организации _______________________________________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ИНН: _________________________________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lastRenderedPageBreak/>
        <w:t>КПП: _________________________________</w:t>
      </w:r>
    </w:p>
    <w:p w:rsidR="00285C6F" w:rsidRDefault="00285C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196"/>
        <w:gridCol w:w="1275"/>
        <w:gridCol w:w="595"/>
        <w:gridCol w:w="595"/>
        <w:gridCol w:w="596"/>
        <w:gridCol w:w="595"/>
        <w:gridCol w:w="596"/>
        <w:gridCol w:w="1559"/>
      </w:tblGrid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  <w:jc w:val="center"/>
            </w:pPr>
            <w:r>
              <w:t>Дифференциация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95" w:type="dxa"/>
          </w:tcPr>
          <w:p w:rsidR="00285C6F" w:rsidRDefault="00285C6F">
            <w:pPr>
              <w:pStyle w:val="ConsPlusNormal"/>
              <w:jc w:val="center"/>
            </w:pPr>
            <w:r>
              <w:t>ВН</w:t>
            </w:r>
            <w:proofErr w:type="gramStart"/>
            <w:r>
              <w:t>1</w:t>
            </w:r>
            <w:proofErr w:type="gramEnd"/>
          </w:p>
        </w:tc>
        <w:tc>
          <w:tcPr>
            <w:tcW w:w="595" w:type="dxa"/>
          </w:tcPr>
          <w:p w:rsidR="00285C6F" w:rsidRDefault="00285C6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96" w:type="dxa"/>
          </w:tcPr>
          <w:p w:rsidR="00285C6F" w:rsidRDefault="00285C6F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95" w:type="dxa"/>
          </w:tcPr>
          <w:p w:rsidR="00285C6F" w:rsidRDefault="00285C6F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96" w:type="dxa"/>
          </w:tcPr>
          <w:p w:rsidR="00285C6F" w:rsidRDefault="00285C6F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559" w:type="dxa"/>
          </w:tcPr>
          <w:p w:rsidR="00285C6F" w:rsidRDefault="00285C6F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jc w:val="both"/>
            </w:pPr>
            <w:r>
              <w:t>1. Тариф для населения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ind w:firstLine="29"/>
              <w:jc w:val="both"/>
            </w:pPr>
            <w:r>
              <w:t>1.1. цена закупки электрической энергии для населения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ind w:firstLine="29"/>
              <w:jc w:val="both"/>
            </w:pPr>
            <w:r>
              <w:t>1.2. стоимость услуг по передаче электрической энергии для населения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ind w:firstLine="24"/>
              <w:jc w:val="both"/>
            </w:pPr>
            <w:r>
              <w:t>1.3.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jc w:val="both"/>
            </w:pPr>
            <w:r>
              <w:t>1.4. сбытовая надбавка гарантирующего поставщика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jc w:val="both"/>
            </w:pPr>
            <w:r>
              <w:t>2. Среднегодовая цена на электрическую энергию по договору энергоснабжения, 1 ценовая категория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2.1. в том числе цена закупки электрической энергии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 xml:space="preserve">2.2. в том числе стоимость </w:t>
            </w:r>
            <w:r>
              <w:lastRenderedPageBreak/>
              <w:t>услуг по передаче электрической энергии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lastRenderedPageBreak/>
              <w:t>2.3.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jc w:val="both"/>
            </w:pPr>
            <w:r>
              <w:t>2.4.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 w:val="restart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3. Среднегодовая цена на электрическую энергию по договору энергоснабжения, 2 ценовая категория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  <w:r>
              <w:t>День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/>
          </w:tcPr>
          <w:p w:rsidR="00285C6F" w:rsidRDefault="00285C6F"/>
        </w:tc>
        <w:tc>
          <w:tcPr>
            <w:tcW w:w="1196" w:type="dxa"/>
          </w:tcPr>
          <w:p w:rsidR="00285C6F" w:rsidRDefault="00285C6F">
            <w:pPr>
              <w:pStyle w:val="ConsPlusNormal"/>
            </w:pPr>
            <w:r>
              <w:t>Ночь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/>
          </w:tcPr>
          <w:p w:rsidR="00285C6F" w:rsidRDefault="00285C6F"/>
        </w:tc>
        <w:tc>
          <w:tcPr>
            <w:tcW w:w="1196" w:type="dxa"/>
          </w:tcPr>
          <w:p w:rsidR="00285C6F" w:rsidRDefault="00285C6F">
            <w:pPr>
              <w:pStyle w:val="ConsPlusNormal"/>
            </w:pPr>
            <w:r>
              <w:t>Пик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/>
          </w:tcPr>
          <w:p w:rsidR="00285C6F" w:rsidRDefault="00285C6F"/>
        </w:tc>
        <w:tc>
          <w:tcPr>
            <w:tcW w:w="1196" w:type="dxa"/>
          </w:tcPr>
          <w:p w:rsidR="00285C6F" w:rsidRDefault="00285C6F">
            <w:pPr>
              <w:pStyle w:val="ConsPlusNormal"/>
            </w:pPr>
            <w:proofErr w:type="spellStart"/>
            <w:r>
              <w:t>Полупик</w:t>
            </w:r>
            <w:proofErr w:type="spellEnd"/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/>
          </w:tcPr>
          <w:p w:rsidR="00285C6F" w:rsidRDefault="00285C6F"/>
        </w:tc>
        <w:tc>
          <w:tcPr>
            <w:tcW w:w="1196" w:type="dxa"/>
          </w:tcPr>
          <w:p w:rsidR="00285C6F" w:rsidRDefault="00285C6F">
            <w:pPr>
              <w:pStyle w:val="ConsPlusNormal"/>
            </w:pPr>
            <w:r>
              <w:t>Ночь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 w:val="restart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3.1. в том числе цена закупки электрической энергии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День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/>
          </w:tcPr>
          <w:p w:rsidR="00285C6F" w:rsidRDefault="00285C6F"/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Ночь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/>
          </w:tcPr>
          <w:p w:rsidR="00285C6F" w:rsidRDefault="00285C6F"/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Пик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/>
          </w:tcPr>
          <w:p w:rsidR="00285C6F" w:rsidRDefault="00285C6F"/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proofErr w:type="spellStart"/>
            <w:r>
              <w:t>Полупик</w:t>
            </w:r>
            <w:proofErr w:type="spellEnd"/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/>
          </w:tcPr>
          <w:p w:rsidR="00285C6F" w:rsidRDefault="00285C6F"/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Ночь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3.2.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lastRenderedPageBreak/>
              <w:t>3.3.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jc w:val="both"/>
            </w:pPr>
            <w:r>
              <w:t>3.4.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 w:val="restart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4. Среднегодовая цена на электрическую энергию по договору энергоснабжения, 3 ценовая категория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/>
          </w:tcPr>
          <w:p w:rsidR="00285C6F" w:rsidRDefault="00285C6F"/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 w:val="restart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4.1. в том числе цена закупки электрической энергии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/>
          </w:tcPr>
          <w:p w:rsidR="00285C6F" w:rsidRDefault="00285C6F"/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4.2.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4.3.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jc w:val="both"/>
            </w:pPr>
            <w:r>
              <w:lastRenderedPageBreak/>
              <w:t>4.4.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 w:val="restart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5. Среднегодовая цена на электрическую энергию по договору энергоснабжения, 4 ценовая категория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/>
          </w:tcPr>
          <w:p w:rsidR="00285C6F" w:rsidRDefault="00285C6F"/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 w:val="restart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5.1. в том числе цена закупки электрической энергии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/>
          </w:tcPr>
          <w:p w:rsidR="00285C6F" w:rsidRDefault="00285C6F"/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 w:val="restart"/>
          </w:tcPr>
          <w:p w:rsidR="00285C6F" w:rsidRDefault="00285C6F">
            <w:pPr>
              <w:pStyle w:val="ConsPlusNormal"/>
              <w:ind w:firstLine="14"/>
              <w:jc w:val="both"/>
            </w:pPr>
            <w:r>
              <w:t>5.2.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потери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/>
          </w:tcPr>
          <w:p w:rsidR="00285C6F" w:rsidRDefault="00285C6F"/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содержание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5.3.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5.4.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 w:val="restart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 xml:space="preserve">6. Среднегодовая цена на электрическую энергию по </w:t>
            </w:r>
            <w:r>
              <w:lastRenderedPageBreak/>
              <w:t>договору энергоснабжения, 5 ценовая категория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lastRenderedPageBreak/>
              <w:t xml:space="preserve">электрическая </w:t>
            </w:r>
            <w:r>
              <w:lastRenderedPageBreak/>
              <w:t>энергия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/>
          </w:tcPr>
          <w:p w:rsidR="00285C6F" w:rsidRDefault="00285C6F"/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 w:val="restart"/>
          </w:tcPr>
          <w:p w:rsidR="00285C6F" w:rsidRDefault="00285C6F">
            <w:pPr>
              <w:pStyle w:val="ConsPlusNormal"/>
              <w:jc w:val="both"/>
            </w:pPr>
            <w:r>
              <w:t>6.1. в том числе цена закупки электрической энергии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/>
          </w:tcPr>
          <w:p w:rsidR="00285C6F" w:rsidRDefault="00285C6F"/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6.2.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6.3.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2382" w:type="dxa"/>
            <w:gridSpan w:val="4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6.4.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2382" w:type="dxa"/>
            <w:gridSpan w:val="4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 w:val="restart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7. Среднегодовая цена на электрическую энергию по договору энергоснабжения, 6 ценовая категория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/>
          </w:tcPr>
          <w:p w:rsidR="00285C6F" w:rsidRDefault="00285C6F"/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 w:val="restart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 xml:space="preserve">7.1. в том числе цена закупки электрической </w:t>
            </w:r>
            <w:r>
              <w:lastRenderedPageBreak/>
              <w:t>энергии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lastRenderedPageBreak/>
              <w:t xml:space="preserve">электрическая </w:t>
            </w:r>
            <w:r>
              <w:lastRenderedPageBreak/>
              <w:t>энергия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/>
          </w:tcPr>
          <w:p w:rsidR="00285C6F" w:rsidRDefault="00285C6F"/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 w:val="restart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7.2.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потери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  <w:vMerge/>
          </w:tcPr>
          <w:p w:rsidR="00285C6F" w:rsidRDefault="00285C6F"/>
        </w:tc>
        <w:tc>
          <w:tcPr>
            <w:tcW w:w="1196" w:type="dxa"/>
          </w:tcPr>
          <w:p w:rsidR="00285C6F" w:rsidRDefault="00285C6F">
            <w:pPr>
              <w:pStyle w:val="ConsPlusNormal"/>
              <w:jc w:val="both"/>
            </w:pPr>
            <w:r>
              <w:t>содержание</w:t>
            </w: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5" w:type="dxa"/>
          </w:tcPr>
          <w:p w:rsidR="00285C6F" w:rsidRDefault="00285C6F">
            <w:pPr>
              <w:pStyle w:val="ConsPlusNormal"/>
            </w:pPr>
          </w:p>
        </w:tc>
        <w:tc>
          <w:tcPr>
            <w:tcW w:w="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ind w:firstLine="14"/>
              <w:jc w:val="both"/>
            </w:pPr>
            <w:r>
              <w:t>7.3.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2692" w:type="dxa"/>
          </w:tcPr>
          <w:p w:rsidR="00285C6F" w:rsidRDefault="00285C6F">
            <w:pPr>
              <w:pStyle w:val="ConsPlusNormal"/>
              <w:jc w:val="both"/>
            </w:pPr>
            <w:r>
              <w:t>7.4.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5" w:type="dxa"/>
          </w:tcPr>
          <w:p w:rsidR="00285C6F" w:rsidRDefault="00285C6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285C6F" w:rsidRDefault="00285C6F">
            <w:pPr>
              <w:pStyle w:val="ConsPlusNormal"/>
            </w:pPr>
          </w:p>
        </w:tc>
        <w:tc>
          <w:tcPr>
            <w:tcW w:w="1559" w:type="dxa"/>
          </w:tcPr>
          <w:p w:rsidR="00285C6F" w:rsidRDefault="00285C6F">
            <w:pPr>
              <w:pStyle w:val="ConsPlusNormal"/>
            </w:pPr>
          </w:p>
        </w:tc>
      </w:tr>
    </w:tbl>
    <w:p w:rsidR="00285C6F" w:rsidRDefault="00285C6F">
      <w:pPr>
        <w:sectPr w:rsidR="00285C6F" w:rsidSect="00285C6F">
          <w:pgSz w:w="16838" w:h="11905" w:orient="landscape"/>
          <w:pgMar w:top="1134" w:right="1134" w:bottom="1134" w:left="1134" w:header="0" w:footer="0" w:gutter="0"/>
          <w:cols w:space="720"/>
        </w:sectPr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ind w:firstLine="540"/>
        <w:jc w:val="both"/>
      </w:pPr>
      <w:r>
        <w:t>--------------------------------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Примечание: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33" w:name="P1523"/>
      <w:bookmarkEnd w:id="33"/>
      <w:r>
        <w:t>&lt;*&gt; Заполняется субъектами естественных монополий, которым присвоен статус гарантирующего поставщика.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right"/>
        <w:outlineLvl w:val="0"/>
      </w:pPr>
      <w:r>
        <w:t>Приложение 6</w:t>
      </w:r>
    </w:p>
    <w:p w:rsidR="00285C6F" w:rsidRDefault="00285C6F">
      <w:pPr>
        <w:pStyle w:val="ConsPlusNormal"/>
        <w:jc w:val="right"/>
      </w:pPr>
      <w:r>
        <w:t>к приказу</w:t>
      </w:r>
    </w:p>
    <w:p w:rsidR="00285C6F" w:rsidRDefault="00285C6F">
      <w:pPr>
        <w:pStyle w:val="ConsPlusNormal"/>
        <w:jc w:val="right"/>
      </w:pPr>
      <w:r>
        <w:t>Федеральной службы по тарифам</w:t>
      </w:r>
    </w:p>
    <w:p w:rsidR="00285C6F" w:rsidRDefault="00285C6F">
      <w:pPr>
        <w:pStyle w:val="ConsPlusNormal"/>
        <w:jc w:val="right"/>
      </w:pPr>
      <w:r>
        <w:t>от 24 октября 2014 г. N 1831-э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Title"/>
        <w:jc w:val="center"/>
      </w:pPr>
      <w:bookmarkStart w:id="34" w:name="P1534"/>
      <w:bookmarkEnd w:id="34"/>
      <w:r>
        <w:t>Форма раскрытия информации</w:t>
      </w:r>
    </w:p>
    <w:p w:rsidR="00285C6F" w:rsidRDefault="00285C6F">
      <w:pPr>
        <w:pStyle w:val="ConsPlusTitle"/>
        <w:jc w:val="center"/>
      </w:pPr>
      <w:r>
        <w:t>о структуре и объемах затрат на оказание услуг</w:t>
      </w:r>
    </w:p>
    <w:p w:rsidR="00285C6F" w:rsidRDefault="00285C6F">
      <w:pPr>
        <w:pStyle w:val="ConsPlusTitle"/>
        <w:jc w:val="center"/>
      </w:pPr>
      <w:r>
        <w:t>по оперативно-диспетчерскому управлению в электроэнергетике</w:t>
      </w:r>
    </w:p>
    <w:p w:rsidR="00285C6F" w:rsidRDefault="00285C6F">
      <w:pPr>
        <w:pStyle w:val="ConsPlusTitle"/>
        <w:jc w:val="center"/>
      </w:pPr>
      <w:r>
        <w:t xml:space="preserve">субъектами оперативно-диспетчерского управления </w:t>
      </w:r>
      <w:hyperlink w:anchor="P1751" w:history="1">
        <w:r>
          <w:rPr>
            <w:color w:val="0000FF"/>
          </w:rPr>
          <w:t>&lt;*&gt;</w:t>
        </w:r>
      </w:hyperlink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  <w:r>
        <w:t>Наименование организации: ______________________________________</w:t>
      </w:r>
    </w:p>
    <w:p w:rsidR="00285C6F" w:rsidRDefault="00285C6F">
      <w:pPr>
        <w:pStyle w:val="ConsPlusNormal"/>
        <w:spacing w:before="220"/>
        <w:jc w:val="both"/>
      </w:pPr>
      <w:r>
        <w:t>ИНН: ___________________________________</w:t>
      </w:r>
    </w:p>
    <w:p w:rsidR="00285C6F" w:rsidRDefault="00285C6F">
      <w:pPr>
        <w:pStyle w:val="ConsPlusNormal"/>
        <w:spacing w:before="220"/>
        <w:jc w:val="both"/>
      </w:pPr>
      <w:r>
        <w:t>КПП: ___________________________________</w:t>
      </w:r>
    </w:p>
    <w:p w:rsidR="00285C6F" w:rsidRDefault="00285C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"/>
        <w:gridCol w:w="5427"/>
        <w:gridCol w:w="1134"/>
        <w:gridCol w:w="850"/>
        <w:gridCol w:w="851"/>
        <w:gridCol w:w="1382"/>
      </w:tblGrid>
      <w:tr w:rsidR="00285C6F">
        <w:tc>
          <w:tcPr>
            <w:tcW w:w="729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27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01" w:type="dxa"/>
            <w:gridSpan w:val="2"/>
          </w:tcPr>
          <w:p w:rsidR="00285C6F" w:rsidRDefault="00285C6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82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bookmarkStart w:id="35" w:name="P1547"/>
            <w:bookmarkEnd w:id="35"/>
            <w:r>
              <w:t xml:space="preserve">Примечание </w:t>
            </w:r>
            <w:hyperlink w:anchor="P1756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285C6F">
        <w:tc>
          <w:tcPr>
            <w:tcW w:w="729" w:type="dxa"/>
            <w:vMerge/>
          </w:tcPr>
          <w:p w:rsidR="00285C6F" w:rsidRDefault="00285C6F"/>
        </w:tc>
        <w:tc>
          <w:tcPr>
            <w:tcW w:w="5427" w:type="dxa"/>
            <w:vMerge/>
          </w:tcPr>
          <w:p w:rsidR="00285C6F" w:rsidRDefault="00285C6F"/>
        </w:tc>
        <w:tc>
          <w:tcPr>
            <w:tcW w:w="1134" w:type="dxa"/>
            <w:vMerge/>
          </w:tcPr>
          <w:p w:rsidR="00285C6F" w:rsidRDefault="00285C6F"/>
        </w:tc>
        <w:tc>
          <w:tcPr>
            <w:tcW w:w="850" w:type="dxa"/>
          </w:tcPr>
          <w:p w:rsidR="00285C6F" w:rsidRDefault="00285C6F">
            <w:pPr>
              <w:pStyle w:val="ConsPlusNormal"/>
              <w:jc w:val="center"/>
            </w:pPr>
            <w:bookmarkStart w:id="36" w:name="P1548"/>
            <w:bookmarkEnd w:id="36"/>
            <w:r>
              <w:t xml:space="preserve">план </w:t>
            </w:r>
            <w:hyperlink w:anchor="P17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факт </w:t>
            </w:r>
            <w:hyperlink w:anchor="P175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82" w:type="dxa"/>
            <w:vMerge/>
          </w:tcPr>
          <w:p w:rsidR="00285C6F" w:rsidRDefault="00285C6F"/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bookmarkStart w:id="37" w:name="P1550"/>
            <w:bookmarkEnd w:id="37"/>
            <w:r>
              <w:t>I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Расходы, связанные с производством и реализацией, всего, в том числе: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Материальные расходы, всего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bookmarkStart w:id="38" w:name="P1562"/>
            <w:bookmarkEnd w:id="38"/>
            <w:r>
              <w:lastRenderedPageBreak/>
              <w:t>1.1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в том числе на ремонт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Расходы на оплату труда и отчисления на социальные нужды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bookmarkStart w:id="39" w:name="P1574"/>
            <w:bookmarkEnd w:id="39"/>
            <w:r>
              <w:t>2.1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в том числе на ремонт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Амортизация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Прочие расходы, всего, в том числе: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bookmarkStart w:id="40" w:name="P1592"/>
            <w:bookmarkEnd w:id="40"/>
            <w:r>
              <w:t>4.1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расходы на ремонт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услуги сторонних организаций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арендная плата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налоги, пошлины и сборы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другие прочие расходы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Расходы на организацию и оплату услуг по формированию перспективного технологического резерва мощностей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Расходы на организацию и оплату услуг по обеспечению системной надежности, всего, в том числе: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расходы на оплату услуг по нормированному первичному регулированию частоты (конкурентный отбор)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 xml:space="preserve">расходы на оплату услуг по автоматическому вторичному регулированию частоты и </w:t>
            </w:r>
            <w:proofErr w:type="spellStart"/>
            <w:r>
              <w:t>перетоков</w:t>
            </w:r>
            <w:proofErr w:type="spellEnd"/>
            <w:r>
              <w:t xml:space="preserve"> активной мощности (конкурентный отбор)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>расходы на оплату услуг по регулированию реактивной мощности без производства электрической энергии (запрос предложений о готовности оказывать услуги или путем заключения договора с единственным возможным исполнителем услуг)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расходы на оплату услуг по развитию систем противоаварийного управления (запрос предложений о готовности оказывать услуги или путем заключения договора с единственным возможным исполнителем услуг)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Расходы на организацию и оплату услуг по обеспечению вывода ЕЭС из аварийных ситуаций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bookmarkStart w:id="41" w:name="P1664"/>
            <w:bookmarkEnd w:id="41"/>
            <w:r>
              <w:t>II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Внереализационные расходы, всего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bookmarkStart w:id="42" w:name="P1670"/>
            <w:bookmarkEnd w:id="42"/>
            <w:r>
              <w:t>III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ИТОГО расходов (</w:t>
            </w:r>
            <w:hyperlink w:anchor="P1550" w:history="1">
              <w:r>
                <w:rPr>
                  <w:color w:val="0000FF"/>
                </w:rPr>
                <w:t>п. I</w:t>
              </w:r>
            </w:hyperlink>
            <w:r>
              <w:t xml:space="preserve"> + </w:t>
            </w:r>
            <w:hyperlink w:anchor="P1664" w:history="1">
              <w:r>
                <w:rPr>
                  <w:color w:val="0000FF"/>
                </w:rPr>
                <w:t>п. II</w:t>
              </w:r>
            </w:hyperlink>
            <w:r>
              <w:t>)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bookmarkStart w:id="43" w:name="P1676"/>
            <w:bookmarkEnd w:id="43"/>
            <w:r>
              <w:t>IV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Налогооблагаемая прибыль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Налог на прибыль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Нераспределенная прибыль, всего, в том числе: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Расходы из прибыли до распределения, всего, в том числе: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>Выпадающие/излишние доходы/(расходы) прошлых лет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Чистая прибыль, всего, в том числе: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5427" w:type="dxa"/>
            <w:vAlign w:val="center"/>
          </w:tcPr>
          <w:p w:rsidR="00285C6F" w:rsidRDefault="00285C6F">
            <w:pPr>
              <w:pStyle w:val="ConsPlusNormal"/>
            </w:pPr>
            <w:r>
              <w:t xml:space="preserve">Возврат заемных средств на цели </w:t>
            </w:r>
            <w:proofErr w:type="spellStart"/>
            <w:r>
              <w:t>инвестпрограммы</w:t>
            </w:r>
            <w:proofErr w:type="spellEnd"/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Дивиденды по акциям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2.2.3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Прочие расходы из прибыли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Необходимая валовая выручка (</w:t>
            </w:r>
            <w:hyperlink w:anchor="P1670" w:history="1">
              <w:r>
                <w:rPr>
                  <w:color w:val="0000FF"/>
                </w:rPr>
                <w:t>п. III</w:t>
              </w:r>
            </w:hyperlink>
            <w:r>
              <w:t xml:space="preserve"> + </w:t>
            </w:r>
            <w:hyperlink w:anchor="P1676" w:history="1">
              <w:r>
                <w:rPr>
                  <w:color w:val="0000FF"/>
                </w:rPr>
                <w:t>п. IV</w:t>
              </w:r>
            </w:hyperlink>
            <w:r>
              <w:t>)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9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5427" w:type="dxa"/>
          </w:tcPr>
          <w:p w:rsidR="00285C6F" w:rsidRDefault="00285C6F">
            <w:pPr>
              <w:pStyle w:val="ConsPlusNormal"/>
            </w:pPr>
            <w:r>
              <w:t>Справочно: расходы на ремонт, всего (</w:t>
            </w:r>
            <w:hyperlink w:anchor="P1562" w:history="1">
              <w:r>
                <w:rPr>
                  <w:color w:val="0000FF"/>
                </w:rPr>
                <w:t>п. 1.1</w:t>
              </w:r>
            </w:hyperlink>
            <w:r>
              <w:t xml:space="preserve"> + </w:t>
            </w:r>
            <w:hyperlink w:anchor="P1574" w:history="1">
              <w:r>
                <w:rPr>
                  <w:color w:val="0000FF"/>
                </w:rPr>
                <w:t>п. 2.1</w:t>
              </w:r>
            </w:hyperlink>
            <w:r>
              <w:t xml:space="preserve"> + </w:t>
            </w:r>
            <w:hyperlink w:anchor="P1592" w:history="1">
              <w:r>
                <w:rPr>
                  <w:color w:val="0000FF"/>
                </w:rPr>
                <w:t>п. 4.1</w:t>
              </w:r>
            </w:hyperlink>
            <w:r>
              <w:t>)</w:t>
            </w:r>
          </w:p>
        </w:tc>
        <w:tc>
          <w:tcPr>
            <w:tcW w:w="1134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285C6F" w:rsidRDefault="00285C6F">
            <w:pPr>
              <w:pStyle w:val="ConsPlusNormal"/>
            </w:pPr>
          </w:p>
        </w:tc>
      </w:tr>
    </w:tbl>
    <w:p w:rsidR="00285C6F" w:rsidRDefault="00285C6F">
      <w:pPr>
        <w:sectPr w:rsidR="00285C6F" w:rsidSect="00285C6F">
          <w:pgSz w:w="16838" w:h="11905" w:orient="landscape"/>
          <w:pgMar w:top="1134" w:right="1134" w:bottom="1134" w:left="1134" w:header="0" w:footer="0" w:gutter="0"/>
          <w:cols w:space="720"/>
        </w:sectPr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ind w:firstLine="540"/>
        <w:jc w:val="both"/>
      </w:pPr>
      <w:r>
        <w:t>--------------------------------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Примечание: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44" w:name="P1751"/>
      <w:bookmarkEnd w:id="44"/>
      <w:r>
        <w:t>&lt;*&gt; Информация о структуре и объемах затрат на производство и реализацию товаров (работ, услуг) раскрывается субъектами оперативно-диспетчерского управления отдельно в отношении услуг по оперативно-диспетчерскому управлению в электроэнергетике: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 xml:space="preserve">- в части управления технологическими режимами работы объектов электроэнергетики и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а также обеспечения функционирования технологической инфраструктуры оптового и розничных рынков электрической энергии;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-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мощностей.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45" w:name="P1754"/>
      <w:bookmarkEnd w:id="45"/>
      <w:r>
        <w:t xml:space="preserve">&lt;**&gt;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</w:t>
      </w:r>
      <w:hyperlink w:anchor="P1548" w:history="1">
        <w:r>
          <w:rPr>
            <w:color w:val="0000FF"/>
          </w:rPr>
          <w:t>столбце</w:t>
        </w:r>
      </w:hyperlink>
      <w:r>
        <w:t xml:space="preserve"> &lt;план&gt; указываются соответствующие значения.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46" w:name="P1755"/>
      <w:bookmarkEnd w:id="46"/>
      <w:r>
        <w:t>&lt;***&gt;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деятельности, в том числе данных раздельного учета по видам услуг.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47" w:name="P1756"/>
      <w:bookmarkEnd w:id="47"/>
      <w:r>
        <w:t xml:space="preserve">&lt;****&gt; При наличии отклонений фактических значений показателей от плановых значений более чем на 15 процентов в </w:t>
      </w:r>
      <w:hyperlink w:anchor="P1547" w:history="1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right"/>
        <w:outlineLvl w:val="0"/>
      </w:pPr>
      <w:r>
        <w:t>Приложение 7</w:t>
      </w:r>
    </w:p>
    <w:p w:rsidR="00285C6F" w:rsidRDefault="00285C6F">
      <w:pPr>
        <w:pStyle w:val="ConsPlusNormal"/>
        <w:jc w:val="right"/>
      </w:pPr>
      <w:r>
        <w:t>к приказу</w:t>
      </w:r>
    </w:p>
    <w:p w:rsidR="00285C6F" w:rsidRDefault="00285C6F">
      <w:pPr>
        <w:pStyle w:val="ConsPlusNormal"/>
        <w:jc w:val="right"/>
      </w:pPr>
      <w:r>
        <w:t>Федеральной службы по тарифам</w:t>
      </w:r>
    </w:p>
    <w:p w:rsidR="00285C6F" w:rsidRDefault="00285C6F">
      <w:pPr>
        <w:pStyle w:val="ConsPlusNormal"/>
        <w:jc w:val="right"/>
      </w:pPr>
      <w:r>
        <w:t>от 24 октября 2014 г. N 1831-э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Title"/>
        <w:jc w:val="center"/>
      </w:pPr>
      <w:r>
        <w:t>Форма раскрытия информации</w:t>
      </w:r>
    </w:p>
    <w:p w:rsidR="00285C6F" w:rsidRDefault="00285C6F">
      <w:pPr>
        <w:pStyle w:val="ConsPlusTitle"/>
        <w:jc w:val="center"/>
      </w:pPr>
      <w:r>
        <w:t xml:space="preserve">о значении частоты электрического тока </w:t>
      </w:r>
      <w:proofErr w:type="gramStart"/>
      <w:r>
        <w:t>в</w:t>
      </w:r>
      <w:proofErr w:type="gramEnd"/>
      <w:r>
        <w:t xml:space="preserve"> Единой</w:t>
      </w:r>
    </w:p>
    <w:p w:rsidR="00285C6F" w:rsidRDefault="00285C6F">
      <w:pPr>
        <w:pStyle w:val="ConsPlusTitle"/>
        <w:jc w:val="center"/>
      </w:pPr>
      <w:r>
        <w:t>энергетической системе России в течение суток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  <w:r>
        <w:t>Наименование организации: _______________________________________</w:t>
      </w:r>
    </w:p>
    <w:p w:rsidR="00285C6F" w:rsidRDefault="00285C6F">
      <w:pPr>
        <w:pStyle w:val="ConsPlusNormal"/>
        <w:spacing w:before="220"/>
        <w:jc w:val="both"/>
      </w:pPr>
      <w:r>
        <w:t>ИНН: __________________________________________</w:t>
      </w:r>
    </w:p>
    <w:p w:rsidR="00285C6F" w:rsidRDefault="00285C6F">
      <w:pPr>
        <w:pStyle w:val="ConsPlusNormal"/>
        <w:spacing w:before="220"/>
        <w:jc w:val="both"/>
      </w:pPr>
      <w:r>
        <w:t>КПП: __________________________________________</w:t>
      </w:r>
    </w:p>
    <w:p w:rsidR="00285C6F" w:rsidRDefault="00285C6F">
      <w:pPr>
        <w:sectPr w:rsidR="00285C6F" w:rsidSect="00285C6F">
          <w:pgSz w:w="11905" w:h="16838"/>
          <w:pgMar w:top="1134" w:right="1134" w:bottom="1134" w:left="1134" w:header="0" w:footer="0" w:gutter="0"/>
          <w:cols w:space="720"/>
        </w:sectPr>
      </w:pPr>
    </w:p>
    <w:p w:rsidR="00285C6F" w:rsidRDefault="00285C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4995"/>
        <w:gridCol w:w="1007"/>
        <w:gridCol w:w="1470"/>
        <w:gridCol w:w="1488"/>
      </w:tblGrid>
      <w:tr w:rsidR="00285C6F">
        <w:tc>
          <w:tcPr>
            <w:tcW w:w="679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95" w:type="dxa"/>
          </w:tcPr>
          <w:p w:rsidR="00285C6F" w:rsidRDefault="00285C6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07" w:type="dxa"/>
          </w:tcPr>
          <w:p w:rsidR="00285C6F" w:rsidRDefault="00285C6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70" w:type="dxa"/>
          </w:tcPr>
          <w:p w:rsidR="00285C6F" w:rsidRDefault="00285C6F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488" w:type="dxa"/>
          </w:tcPr>
          <w:p w:rsidR="00285C6F" w:rsidRDefault="00285C6F">
            <w:pPr>
              <w:pStyle w:val="ConsPlusNormal"/>
              <w:jc w:val="center"/>
            </w:pPr>
            <w:r>
              <w:t>Нормативное значение</w:t>
            </w:r>
          </w:p>
        </w:tc>
      </w:tr>
      <w:tr w:rsidR="00285C6F">
        <w:tc>
          <w:tcPr>
            <w:tcW w:w="679" w:type="dxa"/>
          </w:tcPr>
          <w:p w:rsidR="00285C6F" w:rsidRDefault="00285C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95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 xml:space="preserve">Количество времени в сутки возникновения отклонения фактического уровня частоты от нормально допустимого уровня частоты (50 </w:t>
            </w:r>
            <w:r w:rsidRPr="00EE4D7D">
              <w:rPr>
                <w:position w:val="-2"/>
              </w:rPr>
              <w:pict>
                <v:shape id="_x0000_i1025" style="width:12pt;height:13.5pt" coordsize="" o:spt="100" adj="0,,0" path="" filled="f" stroked="f">
                  <v:stroke joinstyle="miter"/>
                  <v:imagedata r:id="rId17" o:title="base_1_174076_32768"/>
                  <v:formulas/>
                  <v:path o:connecttype="segments"/>
                </v:shape>
              </w:pict>
            </w:r>
            <w:r>
              <w:t xml:space="preserve"> 0,2 Гц)</w:t>
            </w:r>
          </w:p>
        </w:tc>
        <w:tc>
          <w:tcPr>
            <w:tcW w:w="100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4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88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менее 4320 сек.</w:t>
            </w:r>
          </w:p>
        </w:tc>
      </w:tr>
      <w:tr w:rsidR="00285C6F">
        <w:tc>
          <w:tcPr>
            <w:tcW w:w="679" w:type="dxa"/>
          </w:tcPr>
          <w:p w:rsidR="00285C6F" w:rsidRDefault="00285C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95" w:type="dxa"/>
          </w:tcPr>
          <w:p w:rsidR="00285C6F" w:rsidRDefault="00285C6F">
            <w:pPr>
              <w:pStyle w:val="ConsPlusNormal"/>
              <w:ind w:firstLine="5"/>
              <w:jc w:val="both"/>
            </w:pPr>
            <w:r>
              <w:t xml:space="preserve">Количество времени в сутки возникновения отклонения фактического уровня частоты от предельно допустимого уровня частоты (50 </w:t>
            </w:r>
            <w:r w:rsidRPr="00EE4D7D">
              <w:rPr>
                <w:position w:val="-2"/>
              </w:rPr>
              <w:pict>
                <v:shape id="_x0000_i1026" style="width:12pt;height:13.5pt" coordsize="" o:spt="100" adj="0,,0" path="" filled="f" stroked="f">
                  <v:stroke joinstyle="miter"/>
                  <v:imagedata r:id="rId17" o:title="base_1_174076_32769"/>
                  <v:formulas/>
                  <v:path o:connecttype="segments"/>
                </v:shape>
              </w:pict>
            </w:r>
            <w:r>
              <w:t xml:space="preserve"> 0,4 Гц)</w:t>
            </w:r>
          </w:p>
        </w:tc>
        <w:tc>
          <w:tcPr>
            <w:tcW w:w="100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4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88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0 сек.</w:t>
            </w:r>
          </w:p>
        </w:tc>
      </w:tr>
      <w:tr w:rsidR="00285C6F">
        <w:tc>
          <w:tcPr>
            <w:tcW w:w="679" w:type="dxa"/>
          </w:tcPr>
          <w:p w:rsidR="00285C6F" w:rsidRDefault="00285C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95" w:type="dxa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 xml:space="preserve">Максимальное отклонение фактического значения частоты от предельно допустимого уровня частоты (50 </w:t>
            </w:r>
            <w:r w:rsidRPr="00EE4D7D">
              <w:rPr>
                <w:position w:val="-2"/>
              </w:rPr>
              <w:pict>
                <v:shape id="_x0000_i1027" style="width:12pt;height:13.5pt" coordsize="" o:spt="100" adj="0,,0" path="" filled="f" stroked="f">
                  <v:stroke joinstyle="miter"/>
                  <v:imagedata r:id="rId17" o:title="base_1_174076_32770"/>
                  <v:formulas/>
                  <v:path o:connecttype="segments"/>
                </v:shape>
              </w:pict>
            </w:r>
            <w:r>
              <w:t xml:space="preserve"> 0,4 Гц)</w:t>
            </w:r>
          </w:p>
        </w:tc>
        <w:tc>
          <w:tcPr>
            <w:tcW w:w="100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Гц</w:t>
            </w:r>
          </w:p>
        </w:tc>
        <w:tc>
          <w:tcPr>
            <w:tcW w:w="14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88" w:type="dxa"/>
            <w:vAlign w:val="center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679" w:type="dxa"/>
          </w:tcPr>
          <w:p w:rsidR="00285C6F" w:rsidRDefault="00285C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95" w:type="dxa"/>
          </w:tcPr>
          <w:p w:rsidR="00285C6F" w:rsidRDefault="00285C6F">
            <w:pPr>
              <w:pStyle w:val="ConsPlusNormal"/>
              <w:ind w:firstLine="10"/>
              <w:jc w:val="both"/>
            </w:pPr>
            <w:r>
              <w:t xml:space="preserve">Продолжительность отклонения фактического значения уровня частоты от предельно допустимого уровня частоты (50 </w:t>
            </w:r>
            <w:r w:rsidRPr="00EE4D7D">
              <w:rPr>
                <w:position w:val="-2"/>
              </w:rPr>
              <w:pict>
                <v:shape id="_x0000_i1028" style="width:12pt;height:13.5pt" coordsize="" o:spt="100" adj="0,,0" path="" filled="f" stroked="f">
                  <v:stroke joinstyle="miter"/>
                  <v:imagedata r:id="rId17" o:title="base_1_174076_32771"/>
                  <v:formulas/>
                  <v:path o:connecttype="segments"/>
                </v:shape>
              </w:pict>
            </w:r>
            <w:r>
              <w:t xml:space="preserve"> 0,4 Гц)</w:t>
            </w:r>
          </w:p>
        </w:tc>
        <w:tc>
          <w:tcPr>
            <w:tcW w:w="1007" w:type="dxa"/>
            <w:vAlign w:val="center"/>
          </w:tcPr>
          <w:p w:rsidR="00285C6F" w:rsidRDefault="00285C6F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470" w:type="dxa"/>
            <w:vAlign w:val="center"/>
          </w:tcPr>
          <w:p w:rsidR="00285C6F" w:rsidRDefault="00285C6F">
            <w:pPr>
              <w:pStyle w:val="ConsPlusNormal"/>
            </w:pPr>
          </w:p>
        </w:tc>
        <w:tc>
          <w:tcPr>
            <w:tcW w:w="1488" w:type="dxa"/>
            <w:vAlign w:val="center"/>
          </w:tcPr>
          <w:p w:rsidR="00285C6F" w:rsidRDefault="00285C6F">
            <w:pPr>
              <w:pStyle w:val="ConsPlusNormal"/>
            </w:pPr>
          </w:p>
        </w:tc>
      </w:tr>
    </w:tbl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right"/>
        <w:outlineLvl w:val="0"/>
      </w:pPr>
      <w:r>
        <w:t>Приложение 8</w:t>
      </w:r>
    </w:p>
    <w:p w:rsidR="00285C6F" w:rsidRDefault="00285C6F">
      <w:pPr>
        <w:pStyle w:val="ConsPlusNormal"/>
        <w:jc w:val="right"/>
      </w:pPr>
      <w:r>
        <w:t>к приказу</w:t>
      </w:r>
    </w:p>
    <w:p w:rsidR="00285C6F" w:rsidRDefault="00285C6F">
      <w:pPr>
        <w:pStyle w:val="ConsPlusNormal"/>
        <w:jc w:val="right"/>
      </w:pPr>
      <w:r>
        <w:t>Федеральной службы по тарифам</w:t>
      </w:r>
    </w:p>
    <w:p w:rsidR="00285C6F" w:rsidRDefault="00285C6F">
      <w:pPr>
        <w:pStyle w:val="ConsPlusNormal"/>
        <w:jc w:val="right"/>
      </w:pPr>
      <w:r>
        <w:t>от 24 октября 2014 г. N 1831-э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Title"/>
        <w:jc w:val="center"/>
      </w:pPr>
      <w:r>
        <w:t>Форма раскрытия информации</w:t>
      </w:r>
    </w:p>
    <w:p w:rsidR="00285C6F" w:rsidRDefault="00285C6F">
      <w:pPr>
        <w:pStyle w:val="ConsPlusTitle"/>
        <w:jc w:val="center"/>
      </w:pPr>
      <w:r>
        <w:t>о перечне субъектов электроэнергетики, осуществляющих</w:t>
      </w:r>
    </w:p>
    <w:p w:rsidR="00285C6F" w:rsidRDefault="00285C6F">
      <w:pPr>
        <w:pStyle w:val="ConsPlusTitle"/>
        <w:jc w:val="center"/>
      </w:pPr>
      <w:r>
        <w:t xml:space="preserve">оказание услуг по формированию </w:t>
      </w:r>
      <w:proofErr w:type="gramStart"/>
      <w:r>
        <w:t>технологического</w:t>
      </w:r>
      <w:proofErr w:type="gramEnd"/>
    </w:p>
    <w:p w:rsidR="00285C6F" w:rsidRDefault="00285C6F">
      <w:pPr>
        <w:pStyle w:val="ConsPlusTitle"/>
        <w:jc w:val="center"/>
      </w:pPr>
      <w:r>
        <w:t>резерва мощностей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  <w:r>
        <w:t>Наименование организации: __________________________</w:t>
      </w:r>
    </w:p>
    <w:p w:rsidR="00285C6F" w:rsidRDefault="00285C6F">
      <w:pPr>
        <w:pStyle w:val="ConsPlusNormal"/>
        <w:spacing w:before="220"/>
        <w:jc w:val="both"/>
      </w:pPr>
      <w:r>
        <w:t>ИНН: ____________________________</w:t>
      </w:r>
    </w:p>
    <w:p w:rsidR="00285C6F" w:rsidRDefault="00285C6F">
      <w:pPr>
        <w:pStyle w:val="ConsPlusNormal"/>
        <w:spacing w:before="220"/>
        <w:jc w:val="both"/>
      </w:pPr>
      <w:r>
        <w:t>КПП: ____________________________</w:t>
      </w:r>
    </w:p>
    <w:p w:rsidR="00285C6F" w:rsidRDefault="00285C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6"/>
        <w:gridCol w:w="1596"/>
        <w:gridCol w:w="1960"/>
        <w:gridCol w:w="2127"/>
        <w:gridCol w:w="1246"/>
        <w:gridCol w:w="1232"/>
        <w:gridCol w:w="1372"/>
        <w:gridCol w:w="1357"/>
        <w:gridCol w:w="1246"/>
      </w:tblGrid>
      <w:tr w:rsidR="00285C6F">
        <w:tc>
          <w:tcPr>
            <w:tcW w:w="1236" w:type="dxa"/>
          </w:tcPr>
          <w:p w:rsidR="00285C6F" w:rsidRDefault="00285C6F">
            <w:pPr>
              <w:pStyle w:val="ConsPlusNormal"/>
              <w:jc w:val="center"/>
            </w:pPr>
            <w:r>
              <w:t>Наименование субъекта - исполнителя инвестиционного проекта</w:t>
            </w:r>
          </w:p>
        </w:tc>
        <w:tc>
          <w:tcPr>
            <w:tcW w:w="1596" w:type="dxa"/>
          </w:tcPr>
          <w:p w:rsidR="00285C6F" w:rsidRDefault="00285C6F">
            <w:pPr>
              <w:pStyle w:val="ConsPlusNormal"/>
              <w:jc w:val="center"/>
            </w:pPr>
            <w:r>
              <w:t>Территориальное расположение объекта электроэнергетики, вводимого в эксплуатацию по итогам конкурсов инвестиционных проектов</w:t>
            </w:r>
          </w:p>
        </w:tc>
        <w:tc>
          <w:tcPr>
            <w:tcW w:w="1960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Планируемая величина установленной мощности объекта электроэнергетики, вводимого в эксплуатацию по итогам конкурсов инвестиционных проектов </w:t>
            </w:r>
            <w:hyperlink w:anchor="P1849" w:history="1">
              <w:r>
                <w:rPr>
                  <w:color w:val="0000FF"/>
                </w:rPr>
                <w:t>&lt;*&gt;</w:t>
              </w:r>
            </w:hyperlink>
            <w:r>
              <w:t>, МВт</w:t>
            </w:r>
          </w:p>
        </w:tc>
        <w:tc>
          <w:tcPr>
            <w:tcW w:w="2127" w:type="dxa"/>
          </w:tcPr>
          <w:p w:rsidR="00285C6F" w:rsidRDefault="00285C6F">
            <w:pPr>
              <w:pStyle w:val="ConsPlusNormal"/>
              <w:jc w:val="center"/>
            </w:pPr>
            <w:r>
              <w:t>Технические характеристики объекта электроэнергетики, вводимого в эксплуатацию по итогам конкурсов инвестиционных проектов (используемые технологии производства электроэнергии и вид топлива)</w:t>
            </w:r>
          </w:p>
        </w:tc>
        <w:tc>
          <w:tcPr>
            <w:tcW w:w="1246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Срок строительства и ввода в эксплуатацию генерирующего объекта </w:t>
            </w:r>
            <w:hyperlink w:anchor="P18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32" w:type="dxa"/>
          </w:tcPr>
          <w:p w:rsidR="00285C6F" w:rsidRDefault="00285C6F">
            <w:pPr>
              <w:pStyle w:val="ConsPlusNormal"/>
              <w:jc w:val="center"/>
            </w:pPr>
            <w:r>
              <w:t>Стоимость инвестиционного проекта, 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372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Размер платы за услуги по формированию перспективного технологического резерва мощности </w:t>
            </w:r>
            <w:hyperlink w:anchor="P1849" w:history="1">
              <w:r>
                <w:rPr>
                  <w:color w:val="0000FF"/>
                </w:rPr>
                <w:t>&lt;*&gt;</w:t>
              </w:r>
            </w:hyperlink>
            <w:r>
              <w:t>, тыс. руб.</w:t>
            </w:r>
          </w:p>
        </w:tc>
        <w:tc>
          <w:tcPr>
            <w:tcW w:w="1357" w:type="dxa"/>
          </w:tcPr>
          <w:p w:rsidR="00285C6F" w:rsidRDefault="00285C6F">
            <w:pPr>
              <w:pStyle w:val="ConsPlusNormal"/>
              <w:jc w:val="center"/>
            </w:pPr>
            <w:r>
              <w:t>Реквизиты протокола о результатах проведения конкурса</w:t>
            </w:r>
          </w:p>
        </w:tc>
        <w:tc>
          <w:tcPr>
            <w:tcW w:w="1246" w:type="dxa"/>
          </w:tcPr>
          <w:p w:rsidR="00285C6F" w:rsidRDefault="00285C6F">
            <w:pPr>
              <w:pStyle w:val="ConsPlusNormal"/>
              <w:jc w:val="center"/>
            </w:pPr>
            <w:r>
              <w:t>Реквизиты договора, заключаемого исполнителем инвестиционного проекта с организатором конкурса (дата, номер)</w:t>
            </w:r>
          </w:p>
        </w:tc>
      </w:tr>
      <w:tr w:rsidR="00285C6F">
        <w:tc>
          <w:tcPr>
            <w:tcW w:w="123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960" w:type="dxa"/>
          </w:tcPr>
          <w:p w:rsidR="00285C6F" w:rsidRDefault="00285C6F">
            <w:pPr>
              <w:pStyle w:val="ConsPlusNormal"/>
            </w:pPr>
          </w:p>
        </w:tc>
        <w:tc>
          <w:tcPr>
            <w:tcW w:w="2127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4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3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37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357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46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23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9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960" w:type="dxa"/>
          </w:tcPr>
          <w:p w:rsidR="00285C6F" w:rsidRDefault="00285C6F">
            <w:pPr>
              <w:pStyle w:val="ConsPlusNormal"/>
            </w:pPr>
          </w:p>
        </w:tc>
        <w:tc>
          <w:tcPr>
            <w:tcW w:w="2127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4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3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37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357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46" w:type="dxa"/>
          </w:tcPr>
          <w:p w:rsidR="00285C6F" w:rsidRDefault="00285C6F">
            <w:pPr>
              <w:pStyle w:val="ConsPlusNormal"/>
            </w:pPr>
          </w:p>
        </w:tc>
      </w:tr>
    </w:tbl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ind w:firstLine="540"/>
        <w:jc w:val="both"/>
      </w:pPr>
      <w:r>
        <w:t>--------------------------------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Примечание: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48" w:name="P1849"/>
      <w:bookmarkEnd w:id="48"/>
      <w:r>
        <w:t>&lt;*&gt; Если инвестиционным проектом, отобранным на конкурсной основе, предусмотрено строительство и ввод в эксплуатацию генерирующего объекта, состоящего из энергоблоков, сроки строительства и ввода в эксплуатацию и размер платы за предоставление услуг по формированию перспективного технологического резерва указываются в отношении каждого энергоблока.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center"/>
        <w:outlineLvl w:val="1"/>
      </w:pPr>
      <w:r>
        <w:t>Сводные результаты контроля готовности</w:t>
      </w:r>
    </w:p>
    <w:p w:rsidR="00285C6F" w:rsidRDefault="00285C6F">
      <w:pPr>
        <w:pStyle w:val="ConsPlusNormal"/>
        <w:jc w:val="center"/>
      </w:pPr>
      <w:r>
        <w:t>генерирующего оборудования к выработке электроэнергии</w:t>
      </w:r>
    </w:p>
    <w:p w:rsidR="00285C6F" w:rsidRDefault="00285C6F">
      <w:pPr>
        <w:pStyle w:val="ConsPlusNormal"/>
        <w:jc w:val="center"/>
      </w:pPr>
      <w:r>
        <w:lastRenderedPageBreak/>
        <w:t>за __________ (месяц) 20__ года</w:t>
      </w:r>
    </w:p>
    <w:p w:rsidR="00285C6F" w:rsidRDefault="00285C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344"/>
        <w:gridCol w:w="1456"/>
        <w:gridCol w:w="1274"/>
        <w:gridCol w:w="1329"/>
        <w:gridCol w:w="1554"/>
        <w:gridCol w:w="1568"/>
        <w:gridCol w:w="1595"/>
      </w:tblGrid>
      <w:tr w:rsidR="00285C6F">
        <w:tc>
          <w:tcPr>
            <w:tcW w:w="1320" w:type="dxa"/>
            <w:vMerge w:val="restart"/>
          </w:tcPr>
          <w:p w:rsidR="00285C6F" w:rsidRDefault="00285C6F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0120" w:type="dxa"/>
            <w:gridSpan w:val="7"/>
            <w:tcBorders>
              <w:right w:val="nil"/>
            </w:tcBorders>
          </w:tcPr>
          <w:p w:rsidR="00285C6F" w:rsidRDefault="00285C6F">
            <w:pPr>
              <w:pStyle w:val="ConsPlusNormal"/>
              <w:jc w:val="center"/>
            </w:pPr>
            <w:r>
              <w:t>Суммарные объемы ремонтного снижения мощности, МВт</w:t>
            </w:r>
          </w:p>
        </w:tc>
      </w:tr>
      <w:tr w:rsidR="00285C6F">
        <w:tc>
          <w:tcPr>
            <w:tcW w:w="1320" w:type="dxa"/>
            <w:vMerge/>
          </w:tcPr>
          <w:p w:rsidR="00285C6F" w:rsidRDefault="00285C6F"/>
        </w:tc>
        <w:tc>
          <w:tcPr>
            <w:tcW w:w="2800" w:type="dxa"/>
            <w:gridSpan w:val="2"/>
          </w:tcPr>
          <w:p w:rsidR="00285C6F" w:rsidRDefault="00285C6F">
            <w:pPr>
              <w:pStyle w:val="ConsPlusNormal"/>
              <w:jc w:val="center"/>
            </w:pPr>
            <w:proofErr w:type="gramStart"/>
            <w:r>
              <w:t>Плановые, учтенные на этапе годового и месячного планирования</w:t>
            </w:r>
            <w:proofErr w:type="gramEnd"/>
          </w:p>
        </w:tc>
        <w:tc>
          <w:tcPr>
            <w:tcW w:w="2603" w:type="dxa"/>
            <w:gridSpan w:val="2"/>
          </w:tcPr>
          <w:p w:rsidR="00285C6F" w:rsidRDefault="00285C6F">
            <w:pPr>
              <w:pStyle w:val="ConsPlusNormal"/>
              <w:jc w:val="center"/>
            </w:pPr>
            <w:proofErr w:type="gramStart"/>
            <w:r>
              <w:t>Неплановые, учтенные на этапе недельного и суточного планирования</w:t>
            </w:r>
            <w:proofErr w:type="gramEnd"/>
          </w:p>
        </w:tc>
        <w:tc>
          <w:tcPr>
            <w:tcW w:w="4717" w:type="dxa"/>
            <w:gridSpan w:val="3"/>
            <w:tcBorders>
              <w:right w:val="nil"/>
            </w:tcBorders>
          </w:tcPr>
          <w:p w:rsidR="00285C6F" w:rsidRDefault="00285C6F">
            <w:pPr>
              <w:pStyle w:val="ConsPlusNormal"/>
              <w:jc w:val="center"/>
            </w:pPr>
            <w:proofErr w:type="gramStart"/>
            <w:r>
              <w:t xml:space="preserve">Неплановые и аварийные, учтенные на этапе </w:t>
            </w:r>
            <w:proofErr w:type="spellStart"/>
            <w:r>
              <w:t>внутрисуточного</w:t>
            </w:r>
            <w:proofErr w:type="spellEnd"/>
            <w:r>
              <w:t xml:space="preserve"> планирования</w:t>
            </w:r>
            <w:proofErr w:type="gramEnd"/>
          </w:p>
        </w:tc>
      </w:tr>
      <w:tr w:rsidR="00285C6F">
        <w:tc>
          <w:tcPr>
            <w:tcW w:w="1320" w:type="dxa"/>
            <w:vMerge/>
          </w:tcPr>
          <w:p w:rsidR="00285C6F" w:rsidRDefault="00285C6F"/>
        </w:tc>
        <w:tc>
          <w:tcPr>
            <w:tcW w:w="1344" w:type="dxa"/>
          </w:tcPr>
          <w:p w:rsidR="00285C6F" w:rsidRDefault="00285C6F">
            <w:pPr>
              <w:pStyle w:val="ConsPlusNormal"/>
              <w:jc w:val="center"/>
            </w:pPr>
            <w:r>
              <w:t>снижение мощности, связанное с проведением плановых ремонтов</w:t>
            </w:r>
          </w:p>
        </w:tc>
        <w:tc>
          <w:tcPr>
            <w:tcW w:w="1456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связанное</w:t>
            </w:r>
            <w:proofErr w:type="gramEnd"/>
            <w:r>
              <w:t xml:space="preserve"> с проведением длительным ремонтов </w:t>
            </w:r>
            <w:hyperlink w:anchor="P18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4" w:type="dxa"/>
          </w:tcPr>
          <w:p w:rsidR="00285C6F" w:rsidRDefault="00285C6F">
            <w:pPr>
              <w:pStyle w:val="ConsPlusNormal"/>
              <w:jc w:val="center"/>
            </w:pPr>
            <w:r>
              <w:t>снижение мощности, заявленное на этапе ВСЕГО</w:t>
            </w:r>
          </w:p>
        </w:tc>
        <w:tc>
          <w:tcPr>
            <w:tcW w:w="1329" w:type="dxa"/>
          </w:tcPr>
          <w:p w:rsidR="00285C6F" w:rsidRDefault="00285C6F">
            <w:pPr>
              <w:pStyle w:val="ConsPlusNormal"/>
              <w:jc w:val="center"/>
            </w:pPr>
            <w:r>
              <w:t>снижение мощности, заявленное на этапе РСВ</w:t>
            </w:r>
          </w:p>
        </w:tc>
        <w:tc>
          <w:tcPr>
            <w:tcW w:w="1554" w:type="dxa"/>
          </w:tcPr>
          <w:p w:rsidR="00285C6F" w:rsidRDefault="00285C6F">
            <w:pPr>
              <w:pStyle w:val="ConsPlusNormal"/>
              <w:jc w:val="center"/>
            </w:pPr>
            <w:r>
              <w:t>снижение мощности, заявленное за 4 часа до часа фактической поставки</w:t>
            </w:r>
          </w:p>
        </w:tc>
        <w:tc>
          <w:tcPr>
            <w:tcW w:w="1568" w:type="dxa"/>
          </w:tcPr>
          <w:p w:rsidR="00285C6F" w:rsidRDefault="00285C6F">
            <w:pPr>
              <w:pStyle w:val="ConsPlusNormal"/>
              <w:jc w:val="center"/>
            </w:pPr>
            <w:r>
              <w:t>снижение мощности из-за несоблюдения состава оборудования</w:t>
            </w:r>
          </w:p>
        </w:tc>
        <w:tc>
          <w:tcPr>
            <w:tcW w:w="1595" w:type="dxa"/>
            <w:tcBorders>
              <w:right w:val="nil"/>
            </w:tcBorders>
          </w:tcPr>
          <w:p w:rsidR="00285C6F" w:rsidRDefault="00285C6F">
            <w:pPr>
              <w:pStyle w:val="ConsPlusNormal"/>
              <w:jc w:val="center"/>
            </w:pPr>
            <w:r>
              <w:t>снижение мощности из-за несоблюдения параметров оборудования</w:t>
            </w:r>
          </w:p>
        </w:tc>
      </w:tr>
      <w:tr w:rsidR="00285C6F">
        <w:tc>
          <w:tcPr>
            <w:tcW w:w="1320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344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45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4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329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4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68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95" w:type="dxa"/>
            <w:tcBorders>
              <w:right w:val="nil"/>
            </w:tcBorders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320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344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456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274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329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54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68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595" w:type="dxa"/>
            <w:tcBorders>
              <w:right w:val="nil"/>
            </w:tcBorders>
          </w:tcPr>
          <w:p w:rsidR="00285C6F" w:rsidRDefault="00285C6F">
            <w:pPr>
              <w:pStyle w:val="ConsPlusNormal"/>
            </w:pPr>
          </w:p>
        </w:tc>
      </w:tr>
    </w:tbl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ind w:firstLine="540"/>
        <w:jc w:val="both"/>
      </w:pPr>
      <w:r>
        <w:t>--------------------------------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49" w:name="P1885"/>
      <w:bookmarkEnd w:id="49"/>
      <w:r>
        <w:t>&lt;*&gt; Под длительным ремонтом понимается ремонт генерирующего оборудования тепло- или гидроэлектростанции, длительностью более 180 дней, а для атомной электростанции - более 270 дней.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center"/>
        <w:outlineLvl w:val="1"/>
      </w:pPr>
      <w:r>
        <w:t>Информация о технологических подключениях нового</w:t>
      </w:r>
    </w:p>
    <w:p w:rsidR="00285C6F" w:rsidRDefault="00285C6F">
      <w:pPr>
        <w:pStyle w:val="ConsPlusNormal"/>
        <w:jc w:val="center"/>
      </w:pPr>
      <w:r>
        <w:t>генерирующего оборудования за _________ (месяц) 20__ года</w:t>
      </w:r>
    </w:p>
    <w:p w:rsidR="00285C6F" w:rsidRDefault="00285C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2"/>
        <w:gridCol w:w="3088"/>
        <w:gridCol w:w="3089"/>
      </w:tblGrid>
      <w:tr w:rsidR="00285C6F">
        <w:tc>
          <w:tcPr>
            <w:tcW w:w="3462" w:type="dxa"/>
          </w:tcPr>
          <w:p w:rsidR="00285C6F" w:rsidRDefault="00285C6F">
            <w:pPr>
              <w:pStyle w:val="ConsPlusNormal"/>
              <w:jc w:val="center"/>
            </w:pPr>
            <w:r>
              <w:t>Территория</w:t>
            </w:r>
          </w:p>
        </w:tc>
        <w:tc>
          <w:tcPr>
            <w:tcW w:w="3088" w:type="dxa"/>
          </w:tcPr>
          <w:p w:rsidR="00285C6F" w:rsidRDefault="00285C6F">
            <w:pPr>
              <w:pStyle w:val="ConsPlusNormal"/>
              <w:jc w:val="center"/>
            </w:pPr>
            <w:r>
              <w:t>Суммарные значения установленной мощности вновь введенного генерирующего оборудования (МВт)</w:t>
            </w:r>
          </w:p>
        </w:tc>
        <w:tc>
          <w:tcPr>
            <w:tcW w:w="3089" w:type="dxa"/>
          </w:tcPr>
          <w:p w:rsidR="00285C6F" w:rsidRDefault="00285C6F">
            <w:pPr>
              <w:pStyle w:val="ConsPlusNormal"/>
              <w:jc w:val="center"/>
            </w:pPr>
            <w:r>
              <w:t>Суммарные значения предельного объема поставки мощности вновь введенного генерирующего оборудования (МВт)</w:t>
            </w:r>
          </w:p>
        </w:tc>
      </w:tr>
      <w:tr w:rsidR="00285C6F">
        <w:tc>
          <w:tcPr>
            <w:tcW w:w="3462" w:type="dxa"/>
          </w:tcPr>
          <w:p w:rsidR="00285C6F" w:rsidRDefault="00285C6F">
            <w:pPr>
              <w:pStyle w:val="ConsPlusNormal"/>
            </w:pPr>
            <w:r>
              <w:t xml:space="preserve">ЕЭС России,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3088" w:type="dxa"/>
          </w:tcPr>
          <w:p w:rsidR="00285C6F" w:rsidRDefault="00285C6F">
            <w:pPr>
              <w:pStyle w:val="ConsPlusNormal"/>
            </w:pPr>
          </w:p>
        </w:tc>
        <w:tc>
          <w:tcPr>
            <w:tcW w:w="308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3462" w:type="dxa"/>
          </w:tcPr>
          <w:p w:rsidR="00285C6F" w:rsidRDefault="00285C6F">
            <w:pPr>
              <w:pStyle w:val="ConsPlusNormal"/>
            </w:pPr>
            <w:r>
              <w:lastRenderedPageBreak/>
              <w:t>Ценовые (неценовые) зоны / субъект Российской Федерации</w:t>
            </w:r>
          </w:p>
        </w:tc>
        <w:tc>
          <w:tcPr>
            <w:tcW w:w="3088" w:type="dxa"/>
          </w:tcPr>
          <w:p w:rsidR="00285C6F" w:rsidRDefault="00285C6F">
            <w:pPr>
              <w:pStyle w:val="ConsPlusNormal"/>
            </w:pPr>
          </w:p>
        </w:tc>
        <w:tc>
          <w:tcPr>
            <w:tcW w:w="3089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346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3088" w:type="dxa"/>
          </w:tcPr>
          <w:p w:rsidR="00285C6F" w:rsidRDefault="00285C6F">
            <w:pPr>
              <w:pStyle w:val="ConsPlusNormal"/>
            </w:pPr>
          </w:p>
        </w:tc>
        <w:tc>
          <w:tcPr>
            <w:tcW w:w="3089" w:type="dxa"/>
          </w:tcPr>
          <w:p w:rsidR="00285C6F" w:rsidRDefault="00285C6F">
            <w:pPr>
              <w:pStyle w:val="ConsPlusNormal"/>
            </w:pPr>
          </w:p>
        </w:tc>
      </w:tr>
    </w:tbl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right"/>
        <w:outlineLvl w:val="0"/>
      </w:pPr>
      <w:r>
        <w:t>Приложение 9</w:t>
      </w:r>
    </w:p>
    <w:p w:rsidR="00285C6F" w:rsidRDefault="00285C6F">
      <w:pPr>
        <w:pStyle w:val="ConsPlusNormal"/>
        <w:jc w:val="right"/>
      </w:pPr>
      <w:r>
        <w:t>к приказу</w:t>
      </w:r>
    </w:p>
    <w:p w:rsidR="00285C6F" w:rsidRDefault="00285C6F">
      <w:pPr>
        <w:pStyle w:val="ConsPlusNormal"/>
        <w:jc w:val="right"/>
      </w:pPr>
      <w:r>
        <w:t>Федеральной службы по тарифам</w:t>
      </w:r>
    </w:p>
    <w:p w:rsidR="00285C6F" w:rsidRDefault="00285C6F">
      <w:pPr>
        <w:pStyle w:val="ConsPlusNormal"/>
        <w:jc w:val="right"/>
      </w:pPr>
      <w:r>
        <w:t>от 24 октября 2014 г. N 1831-э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Title"/>
        <w:jc w:val="center"/>
      </w:pPr>
      <w:bookmarkStart w:id="50" w:name="P1912"/>
      <w:bookmarkEnd w:id="50"/>
      <w:r>
        <w:t>Форма раскрытия информации</w:t>
      </w:r>
    </w:p>
    <w:p w:rsidR="00285C6F" w:rsidRDefault="00285C6F">
      <w:pPr>
        <w:pStyle w:val="ConsPlusTitle"/>
        <w:jc w:val="center"/>
      </w:pPr>
      <w:r>
        <w:t>о перечне субъектов электроэнергетики и потребителей</w:t>
      </w:r>
    </w:p>
    <w:p w:rsidR="00285C6F" w:rsidRDefault="00285C6F">
      <w:pPr>
        <w:pStyle w:val="ConsPlusTitle"/>
        <w:jc w:val="center"/>
      </w:pPr>
      <w:r>
        <w:t>электрической энергии, осуществляющих оказание услуг</w:t>
      </w:r>
    </w:p>
    <w:p w:rsidR="00285C6F" w:rsidRDefault="00285C6F">
      <w:pPr>
        <w:pStyle w:val="ConsPlusTitle"/>
        <w:jc w:val="center"/>
      </w:pPr>
      <w:r>
        <w:t>по обеспечению системной надежности, обеспечению вывода</w:t>
      </w:r>
    </w:p>
    <w:p w:rsidR="00285C6F" w:rsidRDefault="00285C6F">
      <w:pPr>
        <w:pStyle w:val="ConsPlusTitle"/>
        <w:jc w:val="center"/>
      </w:pPr>
      <w:r>
        <w:t>Единой энергетической системы из аварийных ситуаций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  <w:r>
        <w:t>Наименование организации: ______________________________________</w:t>
      </w:r>
    </w:p>
    <w:p w:rsidR="00285C6F" w:rsidRDefault="00285C6F">
      <w:pPr>
        <w:pStyle w:val="ConsPlusNormal"/>
        <w:spacing w:before="220"/>
        <w:jc w:val="both"/>
      </w:pPr>
      <w:r>
        <w:t>ИНН: _____________________________________</w:t>
      </w:r>
    </w:p>
    <w:p w:rsidR="00285C6F" w:rsidRDefault="00285C6F">
      <w:pPr>
        <w:pStyle w:val="ConsPlusNormal"/>
        <w:spacing w:before="220"/>
        <w:jc w:val="both"/>
      </w:pPr>
      <w:r>
        <w:t>КПП: _____________________________________</w:t>
      </w:r>
    </w:p>
    <w:p w:rsidR="00285C6F" w:rsidRDefault="00285C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3"/>
        <w:gridCol w:w="1434"/>
        <w:gridCol w:w="1418"/>
        <w:gridCol w:w="1134"/>
        <w:gridCol w:w="992"/>
        <w:gridCol w:w="1472"/>
        <w:gridCol w:w="1862"/>
        <w:gridCol w:w="1414"/>
      </w:tblGrid>
      <w:tr w:rsidR="00285C6F">
        <w:tc>
          <w:tcPr>
            <w:tcW w:w="1603" w:type="dxa"/>
          </w:tcPr>
          <w:p w:rsidR="00285C6F" w:rsidRDefault="00285C6F">
            <w:pPr>
              <w:pStyle w:val="ConsPlusNormal"/>
              <w:jc w:val="center"/>
            </w:pPr>
            <w:r>
              <w:t>Наименование субъекта - исполнителя услуг</w:t>
            </w:r>
          </w:p>
        </w:tc>
        <w:tc>
          <w:tcPr>
            <w:tcW w:w="1434" w:type="dxa"/>
          </w:tcPr>
          <w:p w:rsidR="00285C6F" w:rsidRDefault="00285C6F">
            <w:pPr>
              <w:pStyle w:val="ConsPlusNormal"/>
              <w:jc w:val="center"/>
            </w:pPr>
            <w:r>
              <w:t>Наименование объектов электроэнергетики, с использованием которых оказываются услуги</w:t>
            </w:r>
          </w:p>
        </w:tc>
        <w:tc>
          <w:tcPr>
            <w:tcW w:w="1418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Местонахождение объектов электроэнергетики, с использованием которых оказываются </w:t>
            </w:r>
            <w:r>
              <w:lastRenderedPageBreak/>
              <w:t>услуги</w:t>
            </w:r>
          </w:p>
        </w:tc>
        <w:tc>
          <w:tcPr>
            <w:tcW w:w="1134" w:type="dxa"/>
          </w:tcPr>
          <w:p w:rsidR="00285C6F" w:rsidRDefault="00285C6F">
            <w:pPr>
              <w:pStyle w:val="ConsPlusNormal"/>
              <w:jc w:val="center"/>
            </w:pPr>
            <w:r>
              <w:lastRenderedPageBreak/>
              <w:t>Зоны оказания услуг (для НПРЧ и АВРЧМ)</w:t>
            </w:r>
          </w:p>
        </w:tc>
        <w:tc>
          <w:tcPr>
            <w:tcW w:w="992" w:type="dxa"/>
          </w:tcPr>
          <w:p w:rsidR="00285C6F" w:rsidRDefault="00285C6F">
            <w:pPr>
              <w:pStyle w:val="ConsPlusNormal"/>
              <w:jc w:val="center"/>
            </w:pPr>
            <w:r>
              <w:t>Период оказания услуги</w:t>
            </w:r>
          </w:p>
        </w:tc>
        <w:tc>
          <w:tcPr>
            <w:tcW w:w="1472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Объем оказываемой услуги (для НПРЧ и АВРЧМ в час </w:t>
            </w:r>
            <w:hyperlink w:anchor="P1969" w:history="1">
              <w:r>
                <w:rPr>
                  <w:color w:val="0000FF"/>
                </w:rPr>
                <w:t>&lt;*&gt;</w:t>
              </w:r>
            </w:hyperlink>
            <w:r>
              <w:t xml:space="preserve"> МВт, для РРМ в </w:t>
            </w:r>
            <w:proofErr w:type="gramStart"/>
            <w:r>
              <w:t>ч</w:t>
            </w:r>
            <w:proofErr w:type="gramEnd"/>
            <w:r>
              <w:t>, для РСПУ - ед.)</w:t>
            </w:r>
          </w:p>
        </w:tc>
        <w:tc>
          <w:tcPr>
            <w:tcW w:w="1862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Цены на услуги по обеспечению системной надежности (для НПРЧ и АВРЧМ - руб./час </w:t>
            </w:r>
            <w:hyperlink w:anchor="P1969" w:history="1">
              <w:r>
                <w:rPr>
                  <w:color w:val="0000FF"/>
                </w:rPr>
                <w:t>&lt;*&gt;</w:t>
              </w:r>
            </w:hyperlink>
            <w:r>
              <w:t xml:space="preserve"> МВт, для РРМ - руб./</w:t>
            </w:r>
            <w:proofErr w:type="gramStart"/>
            <w:r>
              <w:t>ч</w:t>
            </w:r>
            <w:proofErr w:type="gramEnd"/>
            <w:r>
              <w:t>, для РСПУ - руб.)</w:t>
            </w:r>
          </w:p>
        </w:tc>
        <w:tc>
          <w:tcPr>
            <w:tcW w:w="1414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Способ отбора исполнителя услуг и основания оказания услуг </w:t>
            </w:r>
            <w:hyperlink w:anchor="P19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85C6F">
        <w:tc>
          <w:tcPr>
            <w:tcW w:w="11329" w:type="dxa"/>
            <w:gridSpan w:val="8"/>
          </w:tcPr>
          <w:p w:rsidR="00285C6F" w:rsidRDefault="00285C6F">
            <w:pPr>
              <w:pStyle w:val="ConsPlusNormal"/>
              <w:jc w:val="center"/>
              <w:outlineLvl w:val="1"/>
            </w:pPr>
            <w:r>
              <w:lastRenderedPageBreak/>
              <w:t>1. Нормированное первичное регулирование частоты (НПРЧ)</w:t>
            </w:r>
          </w:p>
        </w:tc>
      </w:tr>
      <w:tr w:rsidR="00285C6F">
        <w:tc>
          <w:tcPr>
            <w:tcW w:w="1603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434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134" w:type="dxa"/>
          </w:tcPr>
          <w:p w:rsidR="00285C6F" w:rsidRDefault="00285C6F">
            <w:pPr>
              <w:pStyle w:val="ConsPlusNormal"/>
            </w:pPr>
          </w:p>
        </w:tc>
        <w:tc>
          <w:tcPr>
            <w:tcW w:w="99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47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86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414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1329" w:type="dxa"/>
            <w:gridSpan w:val="8"/>
          </w:tcPr>
          <w:p w:rsidR="00285C6F" w:rsidRDefault="00285C6F">
            <w:pPr>
              <w:pStyle w:val="ConsPlusNormal"/>
              <w:jc w:val="center"/>
              <w:outlineLvl w:val="1"/>
            </w:pPr>
            <w:r>
              <w:t>2. Автоматическое вторичное регулирование частоты (АВРЧМ)</w:t>
            </w:r>
          </w:p>
        </w:tc>
      </w:tr>
      <w:tr w:rsidR="00285C6F">
        <w:tc>
          <w:tcPr>
            <w:tcW w:w="1603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434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134" w:type="dxa"/>
          </w:tcPr>
          <w:p w:rsidR="00285C6F" w:rsidRDefault="00285C6F">
            <w:pPr>
              <w:pStyle w:val="ConsPlusNormal"/>
            </w:pPr>
          </w:p>
        </w:tc>
        <w:tc>
          <w:tcPr>
            <w:tcW w:w="99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47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86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414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1329" w:type="dxa"/>
            <w:gridSpan w:val="8"/>
          </w:tcPr>
          <w:p w:rsidR="00285C6F" w:rsidRDefault="00285C6F">
            <w:pPr>
              <w:pStyle w:val="ConsPlusNormal"/>
              <w:jc w:val="center"/>
              <w:outlineLvl w:val="1"/>
            </w:pPr>
            <w:r>
              <w:t>3. Регулирование реактивной мощности без производства электрической энергии (РРМ)</w:t>
            </w:r>
          </w:p>
        </w:tc>
      </w:tr>
      <w:tr w:rsidR="00285C6F">
        <w:tc>
          <w:tcPr>
            <w:tcW w:w="1603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434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134" w:type="dxa"/>
          </w:tcPr>
          <w:p w:rsidR="00285C6F" w:rsidRDefault="00285C6F">
            <w:pPr>
              <w:pStyle w:val="ConsPlusNormal"/>
            </w:pPr>
          </w:p>
        </w:tc>
        <w:tc>
          <w:tcPr>
            <w:tcW w:w="99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47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86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414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11329" w:type="dxa"/>
            <w:gridSpan w:val="8"/>
          </w:tcPr>
          <w:p w:rsidR="00285C6F" w:rsidRDefault="00285C6F">
            <w:pPr>
              <w:pStyle w:val="ConsPlusNormal"/>
              <w:jc w:val="center"/>
              <w:outlineLvl w:val="1"/>
            </w:pPr>
            <w:r>
              <w:t>4. Развитие системы противоаварийного управления (РСПУ)</w:t>
            </w:r>
          </w:p>
        </w:tc>
      </w:tr>
      <w:tr w:rsidR="00285C6F">
        <w:tc>
          <w:tcPr>
            <w:tcW w:w="1603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434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418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134" w:type="dxa"/>
          </w:tcPr>
          <w:p w:rsidR="00285C6F" w:rsidRDefault="00285C6F">
            <w:pPr>
              <w:pStyle w:val="ConsPlusNormal"/>
            </w:pPr>
          </w:p>
        </w:tc>
        <w:tc>
          <w:tcPr>
            <w:tcW w:w="99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47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86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414" w:type="dxa"/>
          </w:tcPr>
          <w:p w:rsidR="00285C6F" w:rsidRDefault="00285C6F">
            <w:pPr>
              <w:pStyle w:val="ConsPlusNormal"/>
            </w:pPr>
          </w:p>
        </w:tc>
      </w:tr>
    </w:tbl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ind w:firstLine="540"/>
        <w:jc w:val="both"/>
      </w:pPr>
      <w:r>
        <w:t>--------------------------------</w:t>
      </w:r>
    </w:p>
    <w:p w:rsidR="00285C6F" w:rsidRDefault="00285C6F">
      <w:pPr>
        <w:pStyle w:val="ConsPlusNormal"/>
        <w:spacing w:before="220"/>
        <w:ind w:firstLine="540"/>
        <w:jc w:val="both"/>
      </w:pPr>
      <w:r>
        <w:t>Примечание:</w:t>
      </w:r>
    </w:p>
    <w:p w:rsidR="00285C6F" w:rsidRDefault="00285C6F">
      <w:pPr>
        <w:pStyle w:val="ConsPlusNormal"/>
        <w:spacing w:before="220"/>
        <w:ind w:firstLine="540"/>
        <w:jc w:val="both"/>
      </w:pPr>
      <w:bookmarkStart w:id="51" w:name="P1969"/>
      <w:bookmarkEnd w:id="51"/>
      <w:r>
        <w:t xml:space="preserve">&lt;*&gt; При определении исполнителя по итогам отборов способами, предусмотренными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отбора субъектов электроэнергетики и потребителей электрической энергии, оказывающих услуги по обеспечению системной надежности, и оказания таких услуг, утвержденными постановлением Правительства Российской Федерации от 03.03.2010 N 117 (Собрание законодательства Российской Федерации, 2010, N 12, ст. 1333; 2011, N 14, ст. 1916; 2012, N 44, ст. 6022), указываются реквизиты протокола о составе субъектов электроэнергетики, оказывающих соответствующие услуги по обеспечению системной надежности, в случае определения системным оператором объектов по производству электрической энергии, в силу технологических </w:t>
      </w:r>
      <w:proofErr w:type="gramStart"/>
      <w:r>
        <w:t>особенностей</w:t>
      </w:r>
      <w:proofErr w:type="gramEnd"/>
      <w:r>
        <w:t xml:space="preserve"> работы которых для их собственников или иных законных владельцев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 (Собрание законодательства Российской Федерации, 2003, N 13, ст. 1177; </w:t>
      </w:r>
      <w:proofErr w:type="gramStart"/>
      <w:r>
        <w:t>2004, N 35, ст. 3607; 2005, N 1 (часть I), ст. 37; 2006, N 52 (часть I), ст. 5498; 2007, N 45, ст. 5427; 2008, N 29 (часть I), ст. 3418; N 52 (часть I), ст. 6236; 2009, N 48, ст. 5711; 2010, N 11, ст. 1175; N 31, ст. 4156, ст. 4157, ст. 4158, ст. 4160;</w:t>
      </w:r>
      <w:proofErr w:type="gramEnd"/>
      <w:r>
        <w:t xml:space="preserve"> </w:t>
      </w:r>
      <w:proofErr w:type="gramStart"/>
      <w:r>
        <w:t>2011, N 1, ст. 13; N 7, ст. 905; N 11, ст. 1502; N 23, ст. 3263; N 30 (часть I), ст. 4590, ст. 4596; N 50, ст. 7336, ст. 7343; 2012, N 26, ст. 3446; N 27, ст. 3587; N 53 (часть I), ст. 7616; 2013, N 14, ст. 1643;</w:t>
      </w:r>
      <w:proofErr w:type="gramEnd"/>
      <w:r>
        <w:t xml:space="preserve"> N 45, ст. 5797; N 48, ст. 6165; 2014, N 16, ст. 1840; N 30 (часть I), ст. 4218) установлена обязанность по оказанию услуг по обеспечению системной надежности, указываются реквизиты актов регулирующего органа об утверждении цен (тарифов) на соответствующие услуги по обеспечению системной надежности.</w:t>
      </w: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center"/>
        <w:outlineLvl w:val="1"/>
      </w:pPr>
      <w:r>
        <w:t>Перечень поставщиков мощности, ценовые заявки</w:t>
      </w:r>
    </w:p>
    <w:p w:rsidR="00285C6F" w:rsidRDefault="00285C6F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отобраны по итогам конкурентного отбора мощности</w:t>
      </w:r>
    </w:p>
    <w:p w:rsidR="00285C6F" w:rsidRDefault="00285C6F">
      <w:pPr>
        <w:pStyle w:val="ConsPlusNormal"/>
        <w:jc w:val="center"/>
      </w:pPr>
      <w:r>
        <w:lastRenderedPageBreak/>
        <w:t>на ____ год</w:t>
      </w:r>
    </w:p>
    <w:p w:rsidR="00285C6F" w:rsidRDefault="00285C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8918"/>
      </w:tblGrid>
      <w:tr w:rsidR="00285C6F">
        <w:tc>
          <w:tcPr>
            <w:tcW w:w="721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18" w:type="dxa"/>
          </w:tcPr>
          <w:p w:rsidR="00285C6F" w:rsidRDefault="00285C6F">
            <w:pPr>
              <w:pStyle w:val="ConsPlusNormal"/>
              <w:jc w:val="center"/>
            </w:pPr>
            <w:r>
              <w:t>Поставщик мощности</w:t>
            </w:r>
          </w:p>
        </w:tc>
      </w:tr>
      <w:tr w:rsidR="00285C6F">
        <w:tc>
          <w:tcPr>
            <w:tcW w:w="721" w:type="dxa"/>
          </w:tcPr>
          <w:p w:rsidR="00285C6F" w:rsidRDefault="00285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1" w:type="dxa"/>
          </w:tcPr>
          <w:p w:rsidR="00285C6F" w:rsidRDefault="00285C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18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21" w:type="dxa"/>
          </w:tcPr>
          <w:p w:rsidR="00285C6F" w:rsidRDefault="00285C6F">
            <w:pPr>
              <w:pStyle w:val="ConsPlusNormal"/>
            </w:pPr>
          </w:p>
        </w:tc>
        <w:tc>
          <w:tcPr>
            <w:tcW w:w="8918" w:type="dxa"/>
          </w:tcPr>
          <w:p w:rsidR="00285C6F" w:rsidRDefault="00285C6F">
            <w:pPr>
              <w:pStyle w:val="ConsPlusNormal"/>
            </w:pPr>
          </w:p>
        </w:tc>
      </w:tr>
    </w:tbl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center"/>
        <w:outlineLvl w:val="1"/>
      </w:pPr>
      <w:r>
        <w:t>Перечень электростанций, полностью или частично отобранных</w:t>
      </w:r>
    </w:p>
    <w:p w:rsidR="00285C6F" w:rsidRDefault="00285C6F">
      <w:pPr>
        <w:pStyle w:val="ConsPlusNormal"/>
        <w:jc w:val="center"/>
      </w:pPr>
      <w:r>
        <w:t>по итогам конкурентного отбора мощности на ____ год</w:t>
      </w:r>
    </w:p>
    <w:p w:rsidR="00285C6F" w:rsidRDefault="00285C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2833"/>
        <w:gridCol w:w="1812"/>
        <w:gridCol w:w="4282"/>
      </w:tblGrid>
      <w:tr w:rsidR="00285C6F">
        <w:tc>
          <w:tcPr>
            <w:tcW w:w="712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3" w:type="dxa"/>
          </w:tcPr>
          <w:p w:rsidR="00285C6F" w:rsidRDefault="00285C6F">
            <w:pPr>
              <w:pStyle w:val="ConsPlusNormal"/>
              <w:jc w:val="center"/>
            </w:pPr>
            <w:r>
              <w:t>Электростанция</w:t>
            </w:r>
          </w:p>
        </w:tc>
        <w:tc>
          <w:tcPr>
            <w:tcW w:w="1812" w:type="dxa"/>
          </w:tcPr>
          <w:p w:rsidR="00285C6F" w:rsidRDefault="00285C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82" w:type="dxa"/>
          </w:tcPr>
          <w:p w:rsidR="00285C6F" w:rsidRDefault="00285C6F">
            <w:pPr>
              <w:pStyle w:val="ConsPlusNormal"/>
              <w:jc w:val="center"/>
            </w:pPr>
            <w:r>
              <w:t>Электростанция</w:t>
            </w:r>
          </w:p>
        </w:tc>
      </w:tr>
      <w:tr w:rsidR="00285C6F">
        <w:tc>
          <w:tcPr>
            <w:tcW w:w="712" w:type="dxa"/>
          </w:tcPr>
          <w:p w:rsidR="00285C6F" w:rsidRDefault="00285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3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81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4282" w:type="dxa"/>
          </w:tcPr>
          <w:p w:rsidR="00285C6F" w:rsidRDefault="00285C6F">
            <w:pPr>
              <w:pStyle w:val="ConsPlusNormal"/>
            </w:pPr>
          </w:p>
        </w:tc>
      </w:tr>
      <w:tr w:rsidR="00285C6F">
        <w:tc>
          <w:tcPr>
            <w:tcW w:w="712" w:type="dxa"/>
          </w:tcPr>
          <w:p w:rsidR="00285C6F" w:rsidRDefault="00285C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3" w:type="dxa"/>
          </w:tcPr>
          <w:p w:rsidR="00285C6F" w:rsidRDefault="00285C6F">
            <w:pPr>
              <w:pStyle w:val="ConsPlusNormal"/>
            </w:pPr>
          </w:p>
        </w:tc>
        <w:tc>
          <w:tcPr>
            <w:tcW w:w="1812" w:type="dxa"/>
          </w:tcPr>
          <w:p w:rsidR="00285C6F" w:rsidRDefault="00285C6F">
            <w:pPr>
              <w:pStyle w:val="ConsPlusNormal"/>
            </w:pPr>
          </w:p>
        </w:tc>
        <w:tc>
          <w:tcPr>
            <w:tcW w:w="4282" w:type="dxa"/>
          </w:tcPr>
          <w:p w:rsidR="00285C6F" w:rsidRDefault="00285C6F">
            <w:pPr>
              <w:pStyle w:val="ConsPlusNormal"/>
            </w:pPr>
          </w:p>
        </w:tc>
      </w:tr>
    </w:tbl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jc w:val="both"/>
      </w:pPr>
    </w:p>
    <w:p w:rsidR="00285C6F" w:rsidRDefault="00285C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D7F" w:rsidRDefault="00365D7F"/>
    <w:sectPr w:rsidR="00365D7F" w:rsidSect="00285C6F">
      <w:pgSz w:w="16838" w:h="11905" w:orient="landscape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6F"/>
    <w:rsid w:val="00285C6F"/>
    <w:rsid w:val="003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5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5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5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5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5C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5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5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5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5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5C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D93C87D679492529E3CC0F03572C5BB9E1073F1521FCA54FCCD8239E32CFA59C9CEA6A37CC5B7ZCE1M" TargetMode="External"/><Relationship Id="rId13" Type="http://schemas.openxmlformats.org/officeDocument/2006/relationships/hyperlink" Target="consultantplus://offline/ref=80CD93C87D679492529E3CC0F03572C5BB9E1073F1521FCA54FCCD8239E32CFA59C9CEA6A37CC4BBZCE1M" TargetMode="External"/><Relationship Id="rId18" Type="http://schemas.openxmlformats.org/officeDocument/2006/relationships/hyperlink" Target="consultantplus://offline/ref=80CD93C87D679492529E3CC0F03572C5B8921473F75B1FCA54FCCD8239E32CFA59C9CEA6A37CC5B2ZCE3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0CD93C87D679492529E3CC0F03572C5BB971471F2521FCA54FCCD8239E32CFA59C9CEA5A5Z7EDM" TargetMode="External"/><Relationship Id="rId12" Type="http://schemas.openxmlformats.org/officeDocument/2006/relationships/hyperlink" Target="consultantplus://offline/ref=80CD93C87D679492529E3CC0F03572C5BB971770F5571FCA54FCCD8239E32CFA59C9CEA6ZAE0M" TargetMode="External"/><Relationship Id="rId1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CD93C87D679492529E3CC0F03572C5BB971770F5571FCA54FCCD8239E32CFA59C9CEA6ZAE0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D93C87D679492529E3CC0F03572C5B8901477F6511FCA54FCCD8239E32CFA59C9CEZAE6M" TargetMode="External"/><Relationship Id="rId11" Type="http://schemas.openxmlformats.org/officeDocument/2006/relationships/hyperlink" Target="consultantplus://offline/ref=80CD93C87D679492529E3CC0F03572C5BB9E1073F1521FCA54FCCD8239E32CFA59C9CEA6A37CC4BBZCE1M" TargetMode="External"/><Relationship Id="rId5" Type="http://schemas.openxmlformats.org/officeDocument/2006/relationships/hyperlink" Target="consultantplus://offline/ref=80CD93C87D679492529E3CC0F03572C5BB941270F55B1FCA54FCCD8239E32CFA59C9CEA6A37CC7B1ZCE5M" TargetMode="External"/><Relationship Id="rId15" Type="http://schemas.openxmlformats.org/officeDocument/2006/relationships/hyperlink" Target="consultantplus://offline/ref=80CD93C87D679492529E3CC0F03572C5BB9E1073F1521FCA54FCCD8239E32CFA59C9CEA6A37CC4BBZCE1M" TargetMode="External"/><Relationship Id="rId10" Type="http://schemas.openxmlformats.org/officeDocument/2006/relationships/hyperlink" Target="consultantplus://offline/ref=80CD93C87D679492529E3CC0F03572C5B897117DF1571FCA54FCCD8239ZEE3M" TargetMode="External"/><Relationship Id="rId19" Type="http://schemas.openxmlformats.org/officeDocument/2006/relationships/hyperlink" Target="consultantplus://offline/ref=80CD93C87D679492529E3CC0F03572C5BB941277F3571FCA54FCCD8239ZEE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D93C87D679492529E3CC0F03572C5B8911477F7521FCA54FCCD8239E32CFA59C9CEA3ZAE6M" TargetMode="External"/><Relationship Id="rId14" Type="http://schemas.openxmlformats.org/officeDocument/2006/relationships/hyperlink" Target="consultantplus://offline/ref=80CD93C87D679492529E3CC0F03572C5BB971770F5571FCA54FCCD8239E32CFA59C9CEA6ZA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6340</Words>
  <Characters>36138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Лилия Тебрисовна</dc:creator>
  <cp:lastModifiedBy>Хаметова Лилия Тебрисовна</cp:lastModifiedBy>
  <cp:revision>1</cp:revision>
  <dcterms:created xsi:type="dcterms:W3CDTF">2017-12-06T12:04:00Z</dcterms:created>
  <dcterms:modified xsi:type="dcterms:W3CDTF">2017-12-06T12:05:00Z</dcterms:modified>
</cp:coreProperties>
</file>